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rPr>
          <w:rFonts w:ascii="微软雅黑" w:hAnsi="微软雅黑" w:eastAsia="微软雅黑" w:cs="微软雅黑"/>
          <w:color w:val="444444"/>
          <w:sz w:val="24"/>
          <w:szCs w:val="24"/>
          <w:shd w:val="clear" w:fill="FFFFFF"/>
        </w:rPr>
      </w:pPr>
      <w:r>
        <w:rPr>
          <w:rFonts w:ascii="微软雅黑" w:hAnsi="微软雅黑" w:eastAsia="微软雅黑" w:cs="微软雅黑"/>
          <w:color w:val="444444"/>
          <w:sz w:val="24"/>
          <w:szCs w:val="24"/>
          <w:shd w:val="clear" w:fill="FFFFFF"/>
        </w:rPr>
        <w:t>《养老机构管理办法》已经2020年8月21日民政部部务会议通过，现予公布，自2020年11月1日起施行。</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6240" w:firstLineChars="2600"/>
        <w:jc w:val="left"/>
        <w:textAlignment w:val="auto"/>
      </w:pPr>
      <w:r>
        <w:rPr>
          <w:rFonts w:hint="eastAsia" w:ascii="微软雅黑" w:hAnsi="微软雅黑" w:eastAsia="微软雅黑" w:cs="微软雅黑"/>
          <w:color w:val="444444"/>
          <w:sz w:val="24"/>
          <w:szCs w:val="24"/>
          <w:shd w:val="clear" w:fill="FFFFFF"/>
        </w:rPr>
        <w:t>2020年9月1日</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right"/>
        <w:textAlignment w:val="auto"/>
      </w:pP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第一章 总则</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第一条  为了规范对养老机构的管理，促进养老服务健康发展，根据《中华人民共和国老年人权益保障法》和有关法律、行政法规，制定本办法。</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第二条  本办法所称养老机构是指依法办理登记，为老年人提供全日集中住宿和照料护理服务，床位数在10张以上的机构。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养老机构包括营利性养老机构和非营利性养老机构。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第三条  县级以上人民政府民政部门负责养老机构的指导、监督和管理。其他有关部门依照职责分工对养老机构实施监督。</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第四条  养老机构应当按照建筑、消防、食品安全、医疗卫生、特种设备等法律、法规和强制性标准开展服务活动。</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养老机构及其工作人员应当依法保障收住老年人的人身权、财产权等合法权益。</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第五条  入住养老机构的老年人及其代理人应当遵守养老机构的规章制度，维护养老机构正常服务秩序。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第六条  政府投资兴办的养老机构在满足特困人员集中供养需求的前提下，优先保障经济困难的孤寡、失能、高龄、计划生育特殊家庭等老年人的服务需求。</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政府投资兴办的养老机构，可以采取委托管理、租赁经营等方式，交由社会力量运营管理。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第七条  民政部门应当会同有关部门采取措施，鼓励、支持企业事业单位、社会组织或者个人兴办、运营养老机构。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鼓励自然人、法人或者其他组织依法为养老机构提供捐赠和志愿服务。</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第八条  鼓励养老机构加入养老服务行业组织，加强行业自律和诚信建设，促进行业规范有序发展。</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第二章 备案办理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第九条  设立营利性养老机构，应当在市场监督管理部门办理登记。设立非营利性养老机构，应当依法办理相应的登记。</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养老机构登记后即可开展服务活动。</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第十条  营利性养老机构办理备案，应当在收住老年人后10个工作日以内向服务场所所在地的县级人民政府民政部门提出。非营利性养老机构办理备案，应当在收住老年人后10个工作日以内向登记管理机关同级的人民政府民政部门提出。</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第十一条  养老机构办理备案，应当向民政部门提交备案申请书、养老机构登记证书、符合本办法第四条要求的承诺书等材料，并对真实性负责。</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备案申请书应当包括下列内容：</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（一）养老机构基本情况，包括名称、住所、法定代表人或者主要负责人信息等；</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（二）服务场所权属；</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（三）养老床位数量；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（四）服务设施面积；</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（五）联系人和联系方式。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民政部门应当加强信息化建设，逐步实现网上备案。</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第十二条  民政部门收到养老机构备案材料后，对材料齐全的，应当出具备案回执；材料不齐全的，应当指导养老机构补正。</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第十三条  已经备案的养老机构变更名称、法定代表人或者主要负责人等登记事项，或者变更服务场所权属、养老床位数量、服务设施面积等事项的，应当及时向原备案民政部门办理变更备案。</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在原备案机关辖区内变更服务场所的，应当及时向原备案民政部门办理变更备案。营利性养老机构跨原备案机关辖区变更服务场所的，应当及时向变更后的服务场所所在地县级人民政府民政部门办理备案。</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第十四条  民政部门应当通过政府网站、政务新媒体、办事大厅公示栏、服务窗口等途径向社会公开备案事项及流程、材料清单等信息。</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民政部门应当依托全国一体化在线政务服务平台，推进登记管理机关、备案机关信息系统互联互通、数据共享。</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jc w:val="left"/>
        <w:textAlignment w:val="auto"/>
      </w:pP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第三章 服务规范</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第十五条  养老机构应当建立入院评估制度，对老年人的身心状况进行评估，并根据评估结果确定照料护理等级。</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老年人身心状况发生变化，需要变更照料护理等级的，养老机构应当重新进行评估。</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养老机构确定或者变更老年人照料护理等级，应当经老年人或者其代理人同意。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第十六条  养老机构应当与老年人或者其代理人签订服务协议，明确当事人的权利和义务。</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服务协议一般包括下列条款：</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（一）养老机构的名称、住所、法定代表人或者主要负责人、联系方式；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（二）老年人或者其代理人和紧急联系人的姓名、住址、身份证明、联系方式；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（三）照料护理等级和服务内容、服务方式；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（四）收费标准和费用支付方式；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（五）服务期限和场所；</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（六）协议变更、解除与终止的条件；</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（七）暂停或者终止服务时老年人安置方式；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（八）违约责任和争议解决方式；</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（九）当事人协商一致的其他内容。</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第十七条  养老机构按照服务协议为老年人提供生活照料、康复护理、精神慰藉、文化娱乐等服务。</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第十八条  养老机构应当为老年人提供饮食、起居、清洁、卫生等生活照料服务。</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养老机构应当提供符合老年人住宿条件的居住用房，并配备适合老年人安全保护要求的设施、设备及用具，定期对老年人的活动场所和物品进行消毒和清洗。</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养老机构提供的饮食应当符合食品安全要求、适宜老年人食用、有利于老年人营养平衡、符合民族风俗习惯。</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第十九条  养老机构应当为老年人建立健康档案，开展日常保健知识宣传，做好疾病预防工作。养老机构在老年人突发危重疾病时，应当及时转送医疗机构救治并通知其紧急联系人。</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养老机构可以通过设立医疗机构或者采取与周边医疗机构合作的方式，为老年人提供医疗服务。养老机构设立医疗机构的，应当按照医疗机构管理相关法律法规进行管理。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第二十条  养老机构发现老年人为传染病病人或者疑似传染病病人的，应当及时向附近的疾病预防控制机构或者医疗机构报告，配合实施卫生处理、隔离等预防控制措施。</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养老机构发现老年人为疑似精神障碍患者的，应当依照精神卫生相关法律法规的规定处理。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第二十一条  养老机构应当根据需要为老年人提供情绪疏导、心理咨询、危机干预等精神慰藉服务。</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第二十二条  养老机构应当开展适合老年人的文化、教育、体育、娱乐活动，丰富老年人的精神文化生活。</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养老机构开展文化、教育、体育、娱乐活动时，应当为老年人提供必要的安全防护措施。</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第二十三条  养老机构应当为老年人家庭成员看望或者问候老年人提供便利，为老年人联系家庭成员提供帮助。</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第二十四条  鼓励养老机构运营社区养老服务设施，或者上门为居家老年人提供助餐、助浴、助洁等服务。</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第四章 运营管理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第二十五条  养老机构应当按照国家有关规定建立健全安全、消防、食品、卫生、财务、档案管理等规章制度，制定服务标准和工作流程，并予以公开。</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第二十六条  养老机构应当配备与服务和运营相适应的工作人员，并依法与其签订聘用合同或者劳动合同，定期开展职业道德教育和业务培训。</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养老机构中从事医疗、康复、消防等服务的人员，应当具备相应的职业资格。</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养老机构应当加强对养老护理人员的职业技能培训，建立健全体现职业技能等级等因素的薪酬制度。</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第二十七条  养老机构应当依照其登记类型、经营性质、运营方式、设施设备条件、管理水平、服务质量、照料护理等级等因素合理确定服务项目的收费标准，并遵守国家和地方政府价格管理有关规定。</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养老机构应当在醒目位置公示各类服务项目收费标准和收费依据，接受社会监督。</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第二十八条  养老机构应当实行24小时值班，做好老年人安全保障工作。</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养老机构应当在各出入口、接待大厅、值班室、楼道、食堂等公共</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场所安装视频监控设施，并妥善保管视频监控记录。</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第二十九条  养老机构内设食堂的，应当取得市场监督管理部门颁发的食品经营许可证，严格遵守相关法律、法规和食品安全标准，执行原料控制、餐具饮具清洗消毒、食品留样等制度，并依法开展食堂食品安全自查。</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养老机构从供餐单位订餐的，应当从取得食品生产经营许可的供餐单位订购，并按照要求对订购的食品进行查验。</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第三十条  养老机构应当依法履行消防安全职责，健全消防安全管理制度，实行消防工作责任制，配置消防设施、器材并定期检测、维修，开展日常防火巡查、检查，定期组织灭火和应急疏散消防安全培训。</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养老机构的法定代表人或者主要负责人对本单位消防安全工作全面负责，属于消防安全重点单位的养老机构应当确定消防安全管理人，负责组织实施本单位消防安全管理工作，并报告当地消防救援机构。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第三十一条  养老机构应当依法制定自然灾害、事故灾难、公共卫生事件、社会安全事件等突发事件应急预案，在场所内配备报警装置和必要的应急救援设备、设施，定期开展突发事件应急演练。</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突发事件发生后，养老机构应当立即启动应急预案，采取防止危害扩大的必要处置措施，同时根据突发事件应对管理职责分工向有关部门和民政部门报告。</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第三十二条  养老机构应当建立老年人信息档案，收集和妥善保管服务协议等相关资料。档案的保管期限不少于服务协议期满后五年。</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养老机构及其工作人员应当保护老年人的个人信息和隐私。</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第三十三条  养老机构应当按照国家有关规定接受、使用捐赠、资助。</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鼓励养老机构为社会工作者、志愿者在机构内开展服务提供便利。</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第三十四条  鼓励养老机构投保责任保险，降低机构运营风险。</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第三十五条 养老机构因变更或者终止等原因暂停、终止服务的，应当在合理期限内提前书面通知老年人或者其代理人，并书面告知民政部门。</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老年人需要安置的，养老机构应当根据服务协议约定与老年人或者其代理人协商确定安置事宜。民政部门应当为养老机构妥善安置老年人提供帮助。</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养老机构终止服务后，应当依法清算并办理注销登记。</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第五章 监督检查</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第三十六条  民政部门应当加强对养老机构服务和运营的监督检查，发现违反本办法规定的，及时依法予以处理并向社会公布。</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民政部门在监督检查中发现养老机构存在应当由其他部门查处的违法违规行为的，及时通报有关部门处理。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第三十七条 民政部门依法履行监督检查职责，可以采取以下措施：</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（一）向养老机构和个人了解情况；</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（二）进入涉嫌违法的养老机构进行现场检查；</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（三）查阅或者复制有关合同、票据、账簿及其他有关资料；</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（四）发现养老机构存在可能危及人身健康和生命财产安全风险的，责令限期改正，逾期不改正的，责令停业整顿。</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民政部门实施监督检查时，监督检查人员不得少于2人，应当出示执法证件。</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对民政部门依法进行的监督检查，养老机构应当配合，如实提供相关资料和信息，不得隐瞒、拒绝、阻碍。</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第三十八条  对已经备案的养老机构，备案民政部门应当自备案之日起20个工作日以内进行现场检查，并核实备案信息；对未备案的养老机构，服务场所所在地的县级人民政府民政部门应当自发现其收住老年人之日起20个工作日以内进行现场检查，并督促及时备案。</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民政部门应当每年对养老机构服务安全和质量进行不少于一次的现场检查。</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第三十九条  民政部门应当采取随机抽取检查对象、随机选派检查人员的方式对养老机构实施监督检查。抽查情况及查处结果应当及时向社会公布。 </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民政部门应当结合养老机构的服务规模、信用记录、风险程度等情况，确定抽查比例和频次。对违法失信、风险高的养老机构，适当提高抽查比例和频次，依法依规实施严管和惩戒。</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第四十条  民政部门应当加强对养老机构非法集资的防范、监测和预警工作，发现养老机构涉嫌非法集资的，按照有关规定及时移交相关部门。</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第四十一条  民政部门应当充分利用信息技术手段，加强对养老机构的监督检查，提高监管能力和水平。</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第四十二条 民政部门应当定期开展养老服务行业统计工作，养老机构应当及时准确报送相关信息。</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第四十三条  养老机构应当听取老年人或者其代理人的意见和建议，发挥其对养老机构服务和运营的监督促进作用。</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第四十四条  民政部门应当畅通对养老机构的举报投诉渠道，依法及时处理有关举报投诉。</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第四十五条  民政部门发现个人或者组织未经登记以养老机构名义开展活动的，应当书面通报相关登记管理机关，并配合做好查处工作。</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第六章 法律责任</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第四十六条 养老机构有下列行为之一的，由民政部门责令改正，给予警告；情节严重的，处以3万元以下的罚款：</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（一）未建立入院评估制度或者未按照规定开展评估活动的；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（二）未与老年人或者其代理人签订服务协议，或者未按照协议约定提供服务的；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（三）未按照有关强制性国家标准提供服务的；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（四）工作人员的资格不符合规定的；</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（五）利用养老机构的房屋、场地、设施开展与养老服务宗旨无关的活动的；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（六）未依照本办法规定预防和处置突发事件的；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（七）歧视、侮辱、虐待老年人以及其他侵害老年人人身和财产权益行为的；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（八）向负责监督检查的民政部门隐瞒有关情况、提供虚假材料或者拒绝提供反映其活动情况真实材料的；</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（九）法律、法规、规章规定的其他违法行为。</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养老机构及其工作人员违反本办法有关规定，构成违反治安管理行为的，依法给予治安管理处罚；构成犯罪的，依法追究刑事责任。</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第四十七条  民政部门及其工作人员在监督管理工作中滥用职权、玩忽职守、徇私舞弊的，对直接负责的主管人员和其他责任人员依法依规给予处分；构成犯罪的，依法追究刑事责任。</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 </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center"/>
        <w:textAlignment w:val="auto"/>
      </w:pPr>
      <w:r>
        <w:rPr>
          <w:rStyle w:val="7"/>
          <w:rFonts w:hint="eastAsia" w:ascii="微软雅黑" w:hAnsi="微软雅黑" w:eastAsia="微软雅黑" w:cs="微软雅黑"/>
          <w:color w:val="444444"/>
          <w:sz w:val="24"/>
          <w:szCs w:val="24"/>
          <w:shd w:val="clear" w:fill="FFFFFF"/>
        </w:rPr>
        <w:t>第七章 附则</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第四十八条  国家对农村五保供养服务机构的管理有特别规定的，依照其规定办理。</w:t>
      </w:r>
    </w:p>
    <w:p>
      <w:pPr>
        <w:pStyle w:val="4"/>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10" w:lineRule="atLeast"/>
        <w:ind w:left="0" w:right="0" w:firstLine="420"/>
        <w:jc w:val="left"/>
        <w:textAlignment w:val="auto"/>
      </w:pPr>
      <w:r>
        <w:rPr>
          <w:rFonts w:hint="eastAsia" w:ascii="微软雅黑" w:hAnsi="微软雅黑" w:eastAsia="微软雅黑" w:cs="微软雅黑"/>
          <w:color w:val="444444"/>
          <w:sz w:val="24"/>
          <w:szCs w:val="24"/>
          <w:shd w:val="clear" w:fill="FFFFFF"/>
        </w:rPr>
        <w:t>第四十九条  本办法自2020年11月1日起施行。2013年6月28日民政部发布的《养老机构管理办法》同时废止。</w:t>
      </w:r>
    </w:p>
    <w:p>
      <w:pPr>
        <w:keepNext w:val="0"/>
        <w:keepLines w:val="0"/>
        <w:pageBreakBefore w:val="0"/>
        <w:kinsoku/>
        <w:wordWrap/>
        <w:overflowPunct/>
        <w:topLinePunct w:val="0"/>
        <w:autoSpaceDE/>
        <w:autoSpaceDN/>
        <w:bidi w:val="0"/>
        <w:adjustRightInd/>
        <w:snapToGrid/>
        <w:spacing w:before="20" w:after="20" w:line="10" w:lineRule="atLeast"/>
        <w:textAlignment w:val="auto"/>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16659"/>
    <w:rsid w:val="0FF674D8"/>
    <w:rsid w:val="1EF16659"/>
    <w:rsid w:val="349025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7">
    <w:name w:val="Strong"/>
    <w:basedOn w:val="6"/>
    <w:qFormat/>
    <w:uiPriority w:val="0"/>
    <w:rPr>
      <w:b/>
    </w:rPr>
  </w:style>
  <w:style w:type="character" w:styleId="8">
    <w:name w:val="FollowedHyperlink"/>
    <w:basedOn w:val="6"/>
    <w:qFormat/>
    <w:uiPriority w:val="0"/>
    <w:rPr>
      <w:color w:val="333333"/>
      <w:u w:val="none"/>
    </w:rPr>
  </w:style>
  <w:style w:type="character" w:styleId="9">
    <w:name w:val="Hyperlink"/>
    <w:basedOn w:val="6"/>
    <w:uiPriority w:val="0"/>
    <w:rPr>
      <w:color w:val="333333"/>
      <w:u w:val="none"/>
    </w:rPr>
  </w:style>
  <w:style w:type="character" w:customStyle="1" w:styleId="10">
    <w:name w:val="hover23"/>
    <w:basedOn w:val="6"/>
    <w:uiPriority w:val="0"/>
    <w:rPr>
      <w:u w:val="single"/>
    </w:rPr>
  </w:style>
  <w:style w:type="character" w:customStyle="1" w:styleId="11">
    <w:name w:val="hover24"/>
    <w:basedOn w:val="6"/>
    <w:uiPriority w:val="0"/>
    <w:rPr>
      <w:u w:val="single"/>
    </w:rPr>
  </w:style>
  <w:style w:type="character" w:customStyle="1" w:styleId="12">
    <w:name w:val="hover25"/>
    <w:basedOn w:val="6"/>
    <w:uiPriority w:val="0"/>
    <w:rPr>
      <w:u w:val="single"/>
    </w:rPr>
  </w:style>
  <w:style w:type="character" w:customStyle="1" w:styleId="13">
    <w:name w:val="cur"/>
    <w:basedOn w:val="6"/>
    <w:qFormat/>
    <w:uiPriority w:val="0"/>
    <w:rPr>
      <w:shd w:val="clear" w:fill="004E8C"/>
    </w:rPr>
  </w:style>
  <w:style w:type="character" w:customStyle="1" w:styleId="14">
    <w:name w:val="cur1"/>
    <w:basedOn w:val="6"/>
    <w:qFormat/>
    <w:uiPriority w:val="0"/>
    <w:rPr>
      <w:shd w:val="clear" w:fill="004E8C"/>
    </w:rPr>
  </w:style>
  <w:style w:type="character" w:customStyle="1" w:styleId="15">
    <w:name w:val="cur2"/>
    <w:basedOn w:val="6"/>
    <w:qFormat/>
    <w:uiPriority w:val="0"/>
    <w:rPr>
      <w:color w:val="4AC3B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2020-09-22T06:08:00Z</dcterms:created>
  <dc:creator>Administrator</dc:creator>
  <cp:lastModifiedBy>Administrator</cp:lastModifiedBy>
  <cp:lastPrinted>2021-11-08T06:43:25Z</cp:lastPrinted>
  <dcterms:modified xsi:type="dcterms:W3CDTF">2021-11-08T06:44:35Z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F746A2FB0F004CFB9C93B56EEF1EA49A</vt:lpwstr>
  </property>
</Properties>
</file>