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45DC3E">
      <w:pPr>
        <w:spacing w:line="360" w:lineRule="auto"/>
        <w:jc w:val="center"/>
        <w:rPr>
          <w:rFonts w:ascii="宋体" w:hAnsi="宋体"/>
          <w:sz w:val="24"/>
        </w:rPr>
      </w:pPr>
    </w:p>
    <w:p w14:paraId="781F0199">
      <w:pPr>
        <w:spacing w:line="360" w:lineRule="auto"/>
        <w:jc w:val="center"/>
        <w:rPr>
          <w:rFonts w:ascii="宋体" w:hAnsi="宋体"/>
          <w:sz w:val="24"/>
        </w:rPr>
      </w:pPr>
    </w:p>
    <w:p w14:paraId="588D4AEF">
      <w:pPr>
        <w:spacing w:line="360" w:lineRule="auto"/>
        <w:jc w:val="center"/>
        <w:rPr>
          <w:rFonts w:ascii="宋体" w:hAnsi="宋体"/>
          <w:sz w:val="24"/>
        </w:rPr>
      </w:pPr>
    </w:p>
    <w:p w14:paraId="3F809282">
      <w:pPr>
        <w:spacing w:line="360" w:lineRule="auto"/>
        <w:jc w:val="center"/>
        <w:rPr>
          <w:rFonts w:ascii="宋体" w:hAnsi="宋体"/>
          <w:sz w:val="24"/>
        </w:rPr>
      </w:pPr>
    </w:p>
    <w:p w14:paraId="546FB833">
      <w:pPr>
        <w:spacing w:line="360" w:lineRule="auto"/>
        <w:jc w:val="center"/>
        <w:rPr>
          <w:rFonts w:hint="eastAsia" w:ascii="宋体" w:hAnsi="宋体"/>
          <w:b/>
          <w:bCs/>
          <w:sz w:val="52"/>
          <w:szCs w:val="52"/>
          <w:lang w:eastAsia="zh-CN"/>
        </w:rPr>
      </w:pPr>
      <w:r>
        <w:rPr>
          <w:rFonts w:ascii="宋体" w:hAnsi="宋体"/>
          <w:b/>
          <w:bCs/>
          <w:sz w:val="52"/>
          <w:szCs w:val="52"/>
        </w:rPr>
        <w:t>2024</w:t>
      </w:r>
      <w:r>
        <w:rPr>
          <w:rFonts w:hint="eastAsia" w:ascii="宋体" w:hAnsi="宋体"/>
          <w:b/>
          <w:bCs/>
          <w:sz w:val="52"/>
          <w:szCs w:val="52"/>
        </w:rPr>
        <w:t>年度内蒙古自治区呼伦贝尔市扎兰屯市河西街道办事处</w:t>
      </w:r>
      <w:r>
        <w:rPr>
          <w:rFonts w:hint="eastAsia" w:ascii="宋体" w:hAnsi="宋体"/>
          <w:b/>
          <w:bCs/>
          <w:sz w:val="52"/>
          <w:szCs w:val="52"/>
          <w:lang w:eastAsia="zh-CN"/>
        </w:rPr>
        <w:t>部门决算</w:t>
      </w:r>
    </w:p>
    <w:p w14:paraId="77E6C3D2">
      <w:pPr>
        <w:spacing w:line="360" w:lineRule="auto"/>
        <w:jc w:val="center"/>
        <w:rPr>
          <w:rFonts w:ascii="宋体" w:hAnsi="宋体"/>
          <w:b/>
          <w:bCs/>
          <w:sz w:val="52"/>
          <w:szCs w:val="52"/>
        </w:rPr>
      </w:pPr>
      <w:r>
        <w:rPr>
          <w:rFonts w:hint="eastAsia" w:ascii="宋体" w:hAnsi="宋体"/>
          <w:b/>
          <w:bCs/>
          <w:sz w:val="52"/>
          <w:szCs w:val="52"/>
        </w:rPr>
        <w:t>公开报告</w:t>
      </w:r>
    </w:p>
    <w:p w14:paraId="6AF33ABC">
      <w:pPr>
        <w:spacing w:line="360" w:lineRule="auto"/>
        <w:jc w:val="center"/>
        <w:rPr>
          <w:rFonts w:ascii="宋体" w:hAnsi="宋体"/>
          <w:b/>
          <w:bCs/>
          <w:sz w:val="52"/>
          <w:szCs w:val="52"/>
        </w:rPr>
      </w:pPr>
    </w:p>
    <w:p w14:paraId="0004031D">
      <w:pPr>
        <w:spacing w:line="360" w:lineRule="auto"/>
        <w:jc w:val="both"/>
        <w:rPr>
          <w:rFonts w:ascii="宋体" w:hAnsi="宋体"/>
          <w:b/>
          <w:bCs/>
          <w:sz w:val="52"/>
          <w:szCs w:val="52"/>
        </w:rPr>
      </w:pPr>
    </w:p>
    <w:p w14:paraId="28E8B5E3">
      <w:pPr>
        <w:spacing w:line="360" w:lineRule="auto"/>
        <w:jc w:val="both"/>
        <w:rPr>
          <w:rFonts w:ascii="宋体" w:hAnsi="宋体"/>
          <w:b/>
          <w:bCs/>
          <w:sz w:val="52"/>
          <w:szCs w:val="52"/>
        </w:rPr>
      </w:pPr>
    </w:p>
    <w:p w14:paraId="6274F474">
      <w:pPr>
        <w:spacing w:line="360" w:lineRule="auto"/>
        <w:jc w:val="center"/>
        <w:rPr>
          <w:rFonts w:ascii="宋体" w:hAnsi="宋体"/>
          <w:b/>
          <w:bCs/>
          <w:sz w:val="52"/>
          <w:szCs w:val="52"/>
        </w:rPr>
      </w:pPr>
    </w:p>
    <w:p w14:paraId="43A94BA9">
      <w:pPr>
        <w:spacing w:line="360" w:lineRule="auto"/>
        <w:jc w:val="center"/>
        <w:rPr>
          <w:rFonts w:ascii="宋体" w:hAnsi="宋体"/>
          <w:b/>
          <w:bCs/>
          <w:sz w:val="52"/>
          <w:szCs w:val="52"/>
        </w:rPr>
      </w:pPr>
    </w:p>
    <w:p w14:paraId="3CCA0CF2">
      <w:pPr>
        <w:tabs>
          <w:tab w:val="left" w:pos="1060"/>
          <w:tab w:val="center" w:pos="4930"/>
        </w:tabs>
        <w:spacing w:line="360" w:lineRule="auto"/>
        <w:ind w:firstLine="960" w:firstLineChars="300"/>
        <w:jc w:val="left"/>
        <w:rPr>
          <w:rFonts w:ascii="宋体" w:hAnsi="宋体"/>
          <w:sz w:val="32"/>
          <w:szCs w:val="32"/>
        </w:rPr>
      </w:pPr>
      <w:r>
        <w:rPr>
          <w:rFonts w:hint="eastAsia" w:ascii="宋体" w:hAnsi="宋体"/>
          <w:color w:val="000000" w:themeColor="text1"/>
          <w:sz w:val="32"/>
          <w:szCs w:val="32"/>
          <w:highlight w:val="none"/>
          <w:shd w:val="clear" w:color="auto" w:fill="auto"/>
          <w14:textFill>
            <w14:solidFill>
              <w14:schemeClr w14:val="tx1"/>
            </w14:solidFill>
          </w14:textFill>
        </w:rPr>
        <w:t>单位</w:t>
      </w:r>
      <w:r>
        <w:rPr>
          <w:rFonts w:hint="eastAsia" w:ascii="宋体" w:hAnsi="宋体"/>
          <w:sz w:val="32"/>
          <w:szCs w:val="32"/>
        </w:rPr>
        <w:t>名称：</w:t>
      </w:r>
      <w:r>
        <w:rPr>
          <w:rFonts w:hint="eastAsia" w:ascii="宋体" w:hAnsi="宋体"/>
          <w:sz w:val="32"/>
          <w:szCs w:val="32"/>
          <w:lang w:eastAsia="zh-CN"/>
        </w:rPr>
        <w:t>内蒙古自治区呼伦贝尔市</w:t>
      </w:r>
      <w:r>
        <w:rPr>
          <w:rFonts w:hint="eastAsia" w:ascii="宋体" w:hAnsi="宋体"/>
          <w:sz w:val="32"/>
          <w:szCs w:val="32"/>
        </w:rPr>
        <w:t>扎兰屯市河西办事处部门</w:t>
      </w:r>
    </w:p>
    <w:p w14:paraId="4C11FFF9">
      <w:pPr>
        <w:spacing w:line="360" w:lineRule="auto"/>
        <w:ind w:firstLine="960" w:firstLineChars="300"/>
        <w:jc w:val="left"/>
        <w:rPr>
          <w:rFonts w:ascii="宋体" w:hAnsi="宋体"/>
          <w:sz w:val="32"/>
          <w:szCs w:val="32"/>
        </w:rPr>
      </w:pPr>
      <w:r>
        <w:rPr>
          <w:rFonts w:hint="eastAsia" w:ascii="宋体" w:hAnsi="宋体"/>
          <w:sz w:val="32"/>
          <w:szCs w:val="32"/>
        </w:rPr>
        <w:t>单位负责人：冯旭娟</w:t>
      </w:r>
    </w:p>
    <w:p w14:paraId="35D84AC5">
      <w:pPr>
        <w:spacing w:line="360" w:lineRule="auto"/>
        <w:ind w:firstLine="960" w:firstLineChars="300"/>
        <w:jc w:val="left"/>
        <w:rPr>
          <w:rFonts w:ascii="宋体" w:hAnsi="宋体"/>
          <w:sz w:val="32"/>
          <w:szCs w:val="32"/>
        </w:rPr>
      </w:pPr>
      <w:r>
        <w:rPr>
          <w:rFonts w:hint="eastAsia" w:ascii="宋体" w:hAnsi="宋体"/>
          <w:sz w:val="32"/>
          <w:szCs w:val="32"/>
        </w:rPr>
        <w:t>财务负责人：李峰</w:t>
      </w:r>
    </w:p>
    <w:p w14:paraId="2AB7EFE0">
      <w:pPr>
        <w:spacing w:line="360" w:lineRule="auto"/>
        <w:ind w:firstLine="960" w:firstLineChars="300"/>
        <w:jc w:val="left"/>
        <w:rPr>
          <w:rFonts w:ascii="宋体" w:hAnsi="宋体"/>
          <w:sz w:val="32"/>
          <w:szCs w:val="32"/>
        </w:rPr>
      </w:pPr>
      <w:r>
        <w:rPr>
          <w:rFonts w:hint="eastAsia" w:ascii="宋体" w:hAnsi="宋体"/>
          <w:sz w:val="32"/>
          <w:szCs w:val="32"/>
        </w:rPr>
        <w:t>编制人：刘晶</w:t>
      </w:r>
    </w:p>
    <w:p w14:paraId="454CAC92">
      <w:pPr>
        <w:spacing w:line="360" w:lineRule="auto"/>
        <w:jc w:val="left"/>
        <w:rPr>
          <w:rFonts w:ascii="仿宋" w:hAnsi="仿宋" w:eastAsia="仿宋"/>
          <w:b/>
          <w:sz w:val="32"/>
          <w:szCs w:val="32"/>
        </w:rPr>
        <w:sectPr>
          <w:footerReference r:id="rId3" w:type="default"/>
          <w:pgSz w:w="11906" w:h="16838"/>
          <w:pgMar w:top="1440" w:right="1083" w:bottom="1440" w:left="1083" w:header="0" w:footer="720" w:gutter="0"/>
          <w:cols w:space="425" w:num="1"/>
          <w:docGrid w:type="lines" w:linePitch="312" w:charSpace="0"/>
        </w:sectPr>
      </w:pPr>
    </w:p>
    <w:p w14:paraId="011E3D25">
      <w:pPr>
        <w:widowControl/>
        <w:spacing w:after="240"/>
        <w:jc w:val="center"/>
        <w:rPr>
          <w:rFonts w:ascii="Times New Roman" w:hAnsi="Times New Roman" w:eastAsia="Times New Roman" w:cs="Times New Roman"/>
          <w:kern w:val="0"/>
          <w:sz w:val="24"/>
        </w:rPr>
      </w:pPr>
      <w:bookmarkStart w:id="0" w:name="a000"/>
      <w:r>
        <w:rPr>
          <w:rFonts w:ascii="仿宋_GB2312" w:hAnsi="仿宋_GB2312" w:eastAsia="仿宋_GB2312" w:cs="仿宋_GB2312"/>
          <w:b/>
          <w:bCs/>
          <w:kern w:val="0"/>
          <w:sz w:val="54"/>
          <w:szCs w:val="54"/>
        </w:rPr>
        <w:t>目 录</w:t>
      </w:r>
    </w:p>
    <w:p w14:paraId="35320F54">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第一部分 部门（单位）概况</w:t>
      </w:r>
    </w:p>
    <w:p w14:paraId="65AC2AA1">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一、主要职能、职责</w:t>
      </w:r>
    </w:p>
    <w:p w14:paraId="2C183FD9">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二、部门（单位）机构设置及决算单位构成情况</w:t>
      </w:r>
    </w:p>
    <w:p w14:paraId="5E1F0A9A">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三、2024年度部门（单位）主要工作完成情况</w:t>
      </w:r>
    </w:p>
    <w:p w14:paraId="6DE28462">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第二部分 部门（单位）决算情况说明</w:t>
      </w:r>
    </w:p>
    <w:p w14:paraId="6711733F">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一、收入支出决算总体情况说明</w:t>
      </w:r>
    </w:p>
    <w:p w14:paraId="31B19CA3">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二、收入决算情况说明</w:t>
      </w:r>
    </w:p>
    <w:p w14:paraId="1C496BD8">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三、支出决算情况说明</w:t>
      </w:r>
    </w:p>
    <w:p w14:paraId="1D312658">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四、财政拨款收入支出决算总体情况说明</w:t>
      </w:r>
    </w:p>
    <w:p w14:paraId="7D6DEA3A">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五、一般公共预算财政拨款支出决算情况说明</w:t>
      </w:r>
    </w:p>
    <w:p w14:paraId="7559CB82">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六、一般公共预算财政拨款基本支出决算情况说明</w:t>
      </w:r>
    </w:p>
    <w:p w14:paraId="56AD9A96">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七、一般公共预算财政拨款项目支出决算情况说明</w:t>
      </w:r>
    </w:p>
    <w:p w14:paraId="7E08A457">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八、财政拨款“三公”经费支出决算情况说明</w:t>
      </w:r>
    </w:p>
    <w:p w14:paraId="51997487">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九、政府性基金预算财政拨款支出决算情况说明</w:t>
      </w:r>
    </w:p>
    <w:p w14:paraId="14D4FD8B">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十、国有资本经营预算财政拨款支出决算情况说明</w:t>
      </w:r>
    </w:p>
    <w:p w14:paraId="1CA27110">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十一、机关运行经费（公用经费）支出决算情况说明</w:t>
      </w:r>
    </w:p>
    <w:p w14:paraId="06D39DCA">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十二、政府采购支出决算情况说明</w:t>
      </w:r>
    </w:p>
    <w:p w14:paraId="2D355DE2">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十三、国有资产占用情况说明</w:t>
      </w:r>
    </w:p>
    <w:p w14:paraId="5F49B473">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十四、预算绩效情况说明</w:t>
      </w:r>
    </w:p>
    <w:p w14:paraId="71F2BAA7">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第三部分 名词解释</w:t>
      </w:r>
    </w:p>
    <w:p w14:paraId="706A2DB3">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第四部分 决算公开联系方式及信息反馈渠道</w:t>
      </w:r>
    </w:p>
    <w:p w14:paraId="50847DDA">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第五部分 部门（单位）决算表</w:t>
      </w:r>
    </w:p>
    <w:p w14:paraId="08D91A6D">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一、收入支出决算总表</w:t>
      </w:r>
    </w:p>
    <w:p w14:paraId="5770F740">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二、收入决算表</w:t>
      </w:r>
    </w:p>
    <w:p w14:paraId="090A5B21">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三、支出决算表</w:t>
      </w:r>
    </w:p>
    <w:p w14:paraId="2F7E5AFD">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四、财政拨款收入支出决算总表</w:t>
      </w:r>
    </w:p>
    <w:p w14:paraId="13E32411">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五、一般公共预算财政拨款支出决算表</w:t>
      </w:r>
    </w:p>
    <w:p w14:paraId="32B0394B">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六、一般公共预算财政拨款基本支出决算明细表</w:t>
      </w:r>
    </w:p>
    <w:p w14:paraId="3EB3D53A">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七、一般公共预算财政拨款项目支出决算明细表</w:t>
      </w:r>
    </w:p>
    <w:p w14:paraId="556F622E">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八、政府性基金预算财政拨款收入支出决算表</w:t>
      </w:r>
    </w:p>
    <w:p w14:paraId="6CA95B3D">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九、国有资本经营预算财政拨款收入支出决算表</w:t>
      </w:r>
    </w:p>
    <w:p w14:paraId="0013F289">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十、财政拨款“三公”经费支出决算表</w:t>
      </w:r>
    </w:p>
    <w:p w14:paraId="717660ED">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十一、机关运行经费支出、国有资产占用情况及政府采购支出信息表</w:t>
      </w:r>
    </w:p>
    <w:p w14:paraId="3FDD8EBE">
      <w:pPr>
        <w:widowControl/>
        <w:spacing w:before="240" w:after="240"/>
        <w:rPr>
          <w:rFonts w:hint="eastAsia" w:ascii="仿宋_GB2312" w:hAnsi="仿宋_GB2312" w:eastAsia="仿宋_GB2312" w:cs="仿宋_GB2312"/>
          <w:kern w:val="0"/>
          <w:sz w:val="32"/>
          <w:szCs w:val="32"/>
        </w:rPr>
      </w:pPr>
    </w:p>
    <w:p w14:paraId="2BD08103">
      <w:pPr>
        <w:widowControl/>
        <w:spacing w:before="240" w:after="240"/>
        <w:rPr>
          <w:rFonts w:hint="eastAsia" w:ascii="仿宋_GB2312" w:hAnsi="仿宋_GB2312" w:eastAsia="仿宋_GB2312" w:cs="仿宋_GB2312"/>
          <w:kern w:val="0"/>
          <w:sz w:val="32"/>
          <w:szCs w:val="32"/>
        </w:rPr>
      </w:pPr>
    </w:p>
    <w:p w14:paraId="5049ADF4">
      <w:pPr>
        <w:widowControl/>
        <w:spacing w:before="240" w:after="240"/>
        <w:rPr>
          <w:rFonts w:hint="eastAsia" w:ascii="仿宋_GB2312" w:hAnsi="仿宋_GB2312" w:eastAsia="仿宋_GB2312" w:cs="仿宋_GB2312"/>
          <w:kern w:val="0"/>
          <w:sz w:val="32"/>
          <w:szCs w:val="32"/>
        </w:rPr>
      </w:pPr>
    </w:p>
    <w:p w14:paraId="3F5C700A">
      <w:pPr>
        <w:widowControl/>
        <w:spacing w:before="240" w:after="240"/>
        <w:rPr>
          <w:rFonts w:hint="eastAsia" w:ascii="仿宋_GB2312" w:hAnsi="仿宋_GB2312" w:eastAsia="仿宋_GB2312" w:cs="仿宋_GB2312"/>
          <w:kern w:val="0"/>
          <w:sz w:val="32"/>
          <w:szCs w:val="32"/>
        </w:rPr>
      </w:pPr>
      <w:bookmarkStart w:id="2" w:name="_GoBack"/>
      <w:bookmarkEnd w:id="2"/>
    </w:p>
    <w:p w14:paraId="07811EF5">
      <w:pPr>
        <w:widowControl/>
        <w:spacing w:before="240" w:after="240"/>
        <w:rPr>
          <w:rFonts w:hint="eastAsia" w:ascii="仿宋_GB2312" w:hAnsi="仿宋_GB2312" w:eastAsia="仿宋_GB2312" w:cs="仿宋_GB2312"/>
          <w:kern w:val="0"/>
          <w:sz w:val="32"/>
          <w:szCs w:val="32"/>
        </w:rPr>
      </w:pPr>
    </w:p>
    <w:p w14:paraId="0CDE6763">
      <w:pPr>
        <w:widowControl/>
        <w:spacing w:before="240" w:after="240"/>
        <w:rPr>
          <w:rFonts w:ascii="Times New Roman" w:hAnsi="Times New Roman" w:eastAsia="Times New Roman" w:cs="Times New Roman"/>
          <w:kern w:val="0"/>
          <w:sz w:val="24"/>
        </w:rPr>
      </w:pPr>
    </w:p>
    <w:p w14:paraId="55F80BFE">
      <w:pPr>
        <w:widowControl/>
        <w:spacing w:before="240" w:after="240"/>
        <w:rPr>
          <w:rFonts w:ascii="Times New Roman" w:hAnsi="Times New Roman" w:eastAsia="Times New Roman" w:cs="Times New Roman"/>
          <w:kern w:val="0"/>
          <w:sz w:val="24"/>
        </w:rPr>
      </w:pPr>
    </w:p>
    <w:p w14:paraId="6A8B1278">
      <w:pPr>
        <w:widowControl/>
        <w:spacing w:before="240" w:after="240"/>
        <w:rPr>
          <w:rFonts w:ascii="Times New Roman" w:hAnsi="Times New Roman" w:eastAsia="Times New Roman" w:cs="Times New Roman"/>
          <w:kern w:val="0"/>
          <w:sz w:val="24"/>
        </w:rPr>
      </w:pPr>
    </w:p>
    <w:p w14:paraId="6BAE96E5">
      <w:pPr>
        <w:widowControl/>
        <w:spacing w:before="240" w:after="240"/>
        <w:rPr>
          <w:rFonts w:ascii="Times New Roman" w:hAnsi="Times New Roman" w:eastAsia="Times New Roman" w:cs="Times New Roman"/>
          <w:kern w:val="0"/>
          <w:sz w:val="24"/>
        </w:rPr>
      </w:pPr>
    </w:p>
    <w:p w14:paraId="5149EB35">
      <w:pPr>
        <w:widowControl/>
        <w:spacing w:before="240" w:after="240"/>
        <w:rPr>
          <w:rFonts w:ascii="Times New Roman" w:hAnsi="Times New Roman" w:eastAsia="Times New Roman" w:cs="Times New Roman"/>
          <w:kern w:val="0"/>
          <w:sz w:val="24"/>
        </w:rPr>
      </w:pPr>
    </w:p>
    <w:p w14:paraId="7620E94C">
      <w:pPr>
        <w:widowControl/>
        <w:spacing w:before="240" w:after="240"/>
        <w:rPr>
          <w:rFonts w:ascii="Times New Roman" w:hAnsi="Times New Roman" w:eastAsia="Times New Roman" w:cs="Times New Roman"/>
          <w:kern w:val="0"/>
          <w:sz w:val="24"/>
        </w:rPr>
      </w:pPr>
    </w:p>
    <w:p w14:paraId="54BAB511">
      <w:pPr>
        <w:widowControl/>
        <w:spacing w:before="240" w:after="240"/>
        <w:rPr>
          <w:rFonts w:ascii="Times New Roman" w:hAnsi="Times New Roman" w:eastAsia="Times New Roman" w:cs="Times New Roman"/>
          <w:kern w:val="0"/>
          <w:sz w:val="24"/>
        </w:rPr>
      </w:pPr>
    </w:p>
    <w:p w14:paraId="3A3F8628">
      <w:pPr>
        <w:widowControl/>
        <w:spacing w:before="240" w:after="240"/>
        <w:rPr>
          <w:rFonts w:ascii="Times New Roman" w:hAnsi="Times New Roman" w:eastAsia="Times New Roman" w:cs="Times New Roman"/>
          <w:kern w:val="0"/>
          <w:sz w:val="24"/>
        </w:rPr>
      </w:pPr>
    </w:p>
    <w:p w14:paraId="46EFFDF2">
      <w:pPr>
        <w:widowControl/>
        <w:spacing w:before="240" w:after="240"/>
        <w:rPr>
          <w:rFonts w:ascii="Times New Roman" w:hAnsi="Times New Roman" w:eastAsia="Times New Roman" w:cs="Times New Roman"/>
          <w:kern w:val="0"/>
          <w:sz w:val="24"/>
        </w:rPr>
      </w:pPr>
    </w:p>
    <w:p w14:paraId="40B20D4A">
      <w:pPr>
        <w:widowControl/>
        <w:spacing w:before="240" w:after="240"/>
        <w:rPr>
          <w:rFonts w:ascii="Times New Roman" w:hAnsi="Times New Roman" w:eastAsia="Times New Roman" w:cs="Times New Roman"/>
          <w:kern w:val="0"/>
          <w:sz w:val="24"/>
        </w:rPr>
      </w:pPr>
    </w:p>
    <w:p w14:paraId="7F170538">
      <w:pPr>
        <w:widowControl/>
        <w:spacing w:before="240" w:after="240"/>
        <w:rPr>
          <w:rFonts w:ascii="Times New Roman" w:hAnsi="Times New Roman" w:eastAsia="Times New Roman" w:cs="Times New Roman"/>
          <w:kern w:val="0"/>
          <w:sz w:val="24"/>
        </w:rPr>
      </w:pPr>
    </w:p>
    <w:p w14:paraId="165C8B55">
      <w:pPr>
        <w:widowControl/>
        <w:spacing w:before="240" w:after="240"/>
        <w:rPr>
          <w:rFonts w:ascii="Times New Roman" w:hAnsi="Times New Roman" w:eastAsia="Times New Roman" w:cs="Times New Roman"/>
          <w:kern w:val="0"/>
          <w:sz w:val="24"/>
        </w:rPr>
      </w:pPr>
    </w:p>
    <w:p w14:paraId="214CDC76">
      <w:pPr>
        <w:widowControl/>
        <w:spacing w:before="240" w:after="240"/>
        <w:rPr>
          <w:rFonts w:ascii="Times New Roman" w:hAnsi="Times New Roman" w:eastAsia="Times New Roman" w:cs="Times New Roman"/>
          <w:kern w:val="0"/>
          <w:sz w:val="24"/>
        </w:rPr>
      </w:pPr>
    </w:p>
    <w:p w14:paraId="1C3EE4B1">
      <w:pPr>
        <w:widowControl/>
        <w:spacing w:before="240" w:after="240"/>
        <w:rPr>
          <w:rFonts w:ascii="Times New Roman" w:hAnsi="Times New Roman" w:eastAsia="Times New Roman" w:cs="Times New Roman"/>
          <w:kern w:val="0"/>
          <w:sz w:val="24"/>
        </w:rPr>
      </w:pPr>
    </w:p>
    <w:p w14:paraId="7260D0D0">
      <w:pPr>
        <w:widowControl/>
        <w:spacing w:before="240" w:after="240"/>
        <w:rPr>
          <w:rFonts w:ascii="Times New Roman" w:hAnsi="Times New Roman" w:eastAsia="Times New Roman" w:cs="Times New Roman"/>
          <w:kern w:val="0"/>
          <w:sz w:val="24"/>
        </w:rPr>
      </w:pPr>
    </w:p>
    <w:p w14:paraId="7AC22E5A">
      <w:pPr>
        <w:widowControl/>
        <w:spacing w:before="240" w:after="240"/>
        <w:rPr>
          <w:rFonts w:ascii="Times New Roman" w:hAnsi="Times New Roman" w:eastAsia="Times New Roman" w:cs="Times New Roman"/>
          <w:kern w:val="0"/>
          <w:sz w:val="24"/>
        </w:rPr>
      </w:pPr>
    </w:p>
    <w:p w14:paraId="6B51C83B">
      <w:pPr>
        <w:widowControl/>
        <w:spacing w:before="240" w:after="240"/>
        <w:rPr>
          <w:rFonts w:ascii="Times New Roman" w:hAnsi="Times New Roman" w:eastAsia="Times New Roman" w:cs="Times New Roman"/>
          <w:kern w:val="0"/>
          <w:sz w:val="24"/>
        </w:rPr>
      </w:pPr>
    </w:p>
    <w:p w14:paraId="383F2B44">
      <w:pPr>
        <w:pStyle w:val="3"/>
        <w:keepNext w:val="0"/>
        <w:keepLines w:val="0"/>
        <w:widowControl/>
        <w:spacing w:before="299" w:after="299" w:line="240" w:lineRule="auto"/>
        <w:jc w:val="center"/>
        <w:rPr>
          <w:rFonts w:ascii="Times New Roman" w:hAnsi="Times New Roman" w:eastAsia="Times New Roman" w:cs="Times New Roman"/>
          <w:b/>
          <w:bCs/>
          <w:kern w:val="0"/>
          <w:sz w:val="36"/>
          <w:szCs w:val="36"/>
        </w:rPr>
      </w:pPr>
      <w:r>
        <w:rPr>
          <w:rFonts w:ascii="fang_zheng_xiao_biao_song_ti" w:hAnsi="fang_zheng_xiao_biao_song_ti" w:eastAsia="fang_zheng_xiao_biao_song_ti" w:cs="fang_zheng_xiao_biao_song_ti"/>
          <w:kern w:val="0"/>
          <w:sz w:val="36"/>
          <w:szCs w:val="36"/>
        </w:rPr>
        <w:t>第一部分 部门（单位）概况</w:t>
      </w:r>
    </w:p>
    <w:p w14:paraId="351CC4F8">
      <w:pPr>
        <w:widowControl/>
        <w:spacing w:before="240" w:after="240"/>
        <w:jc w:val="left"/>
        <w:rPr>
          <w:rFonts w:ascii="仿宋_GB2312" w:hAnsi="仿宋_GB2312" w:eastAsia="仿宋_GB2312" w:cs="仿宋_GB2312"/>
          <w:color w:val="0E00FE"/>
          <w:kern w:val="0"/>
          <w:sz w:val="27"/>
          <w:szCs w:val="27"/>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一、主要职能、职责</w:t>
      </w:r>
    </w:p>
    <w:p w14:paraId="1A7DA0A0">
      <w:pPr>
        <w:pStyle w:val="31"/>
        <w:keepNext w:val="0"/>
        <w:keepLines w:val="0"/>
        <w:pageBreakBefore w:val="0"/>
        <w:widowControl w:val="0"/>
        <w:tabs>
          <w:tab w:val="right" w:leader="dot" w:pos="8306"/>
        </w:tabs>
        <w:kinsoku/>
        <w:overflowPunct/>
        <w:topLinePunct w:val="0"/>
        <w:autoSpaceDE/>
        <w:autoSpaceDN/>
        <w:bidi w:val="0"/>
        <w:adjustRightInd/>
        <w:spacing w:beforeLines="0" w:afterLines="0" w:line="560" w:lineRule="exact"/>
        <w:ind w:left="0" w:firstLine="640" w:firstLineChars="200"/>
        <w:jc w:val="both"/>
        <w:textAlignment w:val="auto"/>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一）加强党的建设。落实基层党建工作责任制，统筹推进城市基层党建工作，实现党的组织和工作全覆盖，提高党建工作的有效性。落实全面从严治党政治责任，落实意识形态工作责任，负责辖区宣传思想和精神文明建设。</w:t>
      </w:r>
    </w:p>
    <w:p w14:paraId="74525F9E">
      <w:pPr>
        <w:pStyle w:val="31"/>
        <w:keepNext w:val="0"/>
        <w:keepLines w:val="0"/>
        <w:pageBreakBefore w:val="0"/>
        <w:widowControl w:val="0"/>
        <w:tabs>
          <w:tab w:val="right" w:leader="dot" w:pos="8306"/>
        </w:tabs>
        <w:kinsoku/>
        <w:overflowPunct/>
        <w:topLinePunct w:val="0"/>
        <w:autoSpaceDE/>
        <w:autoSpaceDN/>
        <w:bidi w:val="0"/>
        <w:adjustRightInd/>
        <w:spacing w:beforeLines="0" w:afterLines="0" w:line="560" w:lineRule="exact"/>
        <w:ind w:left="0" w:firstLine="640" w:firstLineChars="200"/>
        <w:jc w:val="both"/>
        <w:textAlignment w:val="auto"/>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（二）统筹区域发展。统筹落实关于辖区发展的重大决策，</w:t>
      </w:r>
    </w:p>
    <w:p w14:paraId="2017F72B">
      <w:pPr>
        <w:pStyle w:val="31"/>
        <w:keepNext w:val="0"/>
        <w:keepLines w:val="0"/>
        <w:pageBreakBefore w:val="0"/>
        <w:widowControl w:val="0"/>
        <w:tabs>
          <w:tab w:val="right" w:leader="dot" w:pos="8306"/>
        </w:tabs>
        <w:kinsoku/>
        <w:overflowPunct/>
        <w:topLinePunct w:val="0"/>
        <w:autoSpaceDE/>
        <w:autoSpaceDN/>
        <w:bidi w:val="0"/>
        <w:adjustRightInd/>
        <w:spacing w:beforeLines="0" w:afterLines="0" w:line="560" w:lineRule="exact"/>
        <w:ind w:left="0"/>
        <w:jc w:val="both"/>
        <w:textAlignment w:val="auto"/>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参与辖区建设规划和公共服务设施规划，推动辖区健康、有序、可持续发展。</w:t>
      </w:r>
    </w:p>
    <w:p w14:paraId="22228217">
      <w:pPr>
        <w:pStyle w:val="31"/>
        <w:keepNext w:val="0"/>
        <w:keepLines w:val="0"/>
        <w:pageBreakBefore w:val="0"/>
        <w:widowControl w:val="0"/>
        <w:tabs>
          <w:tab w:val="right" w:leader="dot" w:pos="8306"/>
        </w:tabs>
        <w:kinsoku/>
        <w:overflowPunct/>
        <w:topLinePunct w:val="0"/>
        <w:autoSpaceDE/>
        <w:autoSpaceDN/>
        <w:bidi w:val="0"/>
        <w:adjustRightInd/>
        <w:spacing w:beforeLines="0" w:afterLines="0" w:line="560" w:lineRule="exact"/>
        <w:ind w:left="0" w:firstLine="640" w:firstLineChars="200"/>
        <w:jc w:val="both"/>
        <w:textAlignment w:val="auto"/>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（三）组织公共服务。组织实施与居民生活密切相关的各项公共服务，贯彻落实教育体育、民政、人力资源和社会保障、文化、卫生健康、退役军人事务管理服务等领域相关政策法规。</w:t>
      </w:r>
    </w:p>
    <w:p w14:paraId="083FD989">
      <w:pPr>
        <w:pStyle w:val="31"/>
        <w:keepNext w:val="0"/>
        <w:keepLines w:val="0"/>
        <w:pageBreakBefore w:val="0"/>
        <w:widowControl w:val="0"/>
        <w:tabs>
          <w:tab w:val="right" w:leader="dot" w:pos="8306"/>
        </w:tabs>
        <w:kinsoku/>
        <w:overflowPunct/>
        <w:topLinePunct w:val="0"/>
        <w:autoSpaceDE/>
        <w:autoSpaceDN/>
        <w:bidi w:val="0"/>
        <w:adjustRightInd/>
        <w:spacing w:beforeLines="0" w:afterLines="0" w:line="560" w:lineRule="exact"/>
        <w:ind w:left="0" w:firstLine="640" w:firstLineChars="200"/>
        <w:jc w:val="both"/>
        <w:textAlignment w:val="auto"/>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（四）实施综合管理。组织领导和综合协调辖区内城市管理、人口管理、文明创建等地区性、综合性社会管理工作。承担街道环境保护、物业监管相关工作职责。</w:t>
      </w:r>
    </w:p>
    <w:p w14:paraId="7E212A7B">
      <w:pPr>
        <w:pStyle w:val="31"/>
        <w:keepNext w:val="0"/>
        <w:keepLines w:val="0"/>
        <w:pageBreakBefore w:val="0"/>
        <w:widowControl w:val="0"/>
        <w:tabs>
          <w:tab w:val="right" w:leader="dot" w:pos="8306"/>
        </w:tabs>
        <w:kinsoku/>
        <w:overflowPunct/>
        <w:topLinePunct w:val="0"/>
        <w:autoSpaceDE/>
        <w:autoSpaceDN/>
        <w:bidi w:val="0"/>
        <w:adjustRightInd/>
        <w:spacing w:beforeLines="0" w:afterLines="0" w:line="560" w:lineRule="exact"/>
        <w:ind w:left="0" w:firstLine="640" w:firstLineChars="200"/>
        <w:jc w:val="both"/>
        <w:textAlignment w:val="auto"/>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（五）监督专业管理。对辖区内各类专业执法工作进行统筹协调，并组织开展群众监督和社会监督。</w:t>
      </w:r>
    </w:p>
    <w:p w14:paraId="43F355E5">
      <w:pPr>
        <w:pStyle w:val="31"/>
        <w:keepNext w:val="0"/>
        <w:keepLines w:val="0"/>
        <w:pageBreakBefore w:val="0"/>
        <w:widowControl w:val="0"/>
        <w:tabs>
          <w:tab w:val="right" w:leader="dot" w:pos="8306"/>
        </w:tabs>
        <w:kinsoku/>
        <w:overflowPunct/>
        <w:topLinePunct w:val="0"/>
        <w:autoSpaceDE/>
        <w:autoSpaceDN/>
        <w:bidi w:val="0"/>
        <w:adjustRightInd/>
        <w:spacing w:beforeLines="0" w:afterLines="0" w:line="560" w:lineRule="exact"/>
        <w:ind w:left="0" w:firstLine="640" w:firstLineChars="200"/>
        <w:jc w:val="both"/>
        <w:textAlignment w:val="auto"/>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（六）动员社会参与。动员辖区内各类单位、社会组织和社区居民等社会力量参与社区治理，引导、整合辖区内各种社会力量为区域发展服务。</w:t>
      </w:r>
    </w:p>
    <w:p w14:paraId="584711BE">
      <w:pPr>
        <w:pStyle w:val="31"/>
        <w:keepNext w:val="0"/>
        <w:keepLines w:val="0"/>
        <w:pageBreakBefore w:val="0"/>
        <w:widowControl w:val="0"/>
        <w:tabs>
          <w:tab w:val="right" w:leader="dot" w:pos="8306"/>
        </w:tabs>
        <w:kinsoku/>
        <w:overflowPunct/>
        <w:topLinePunct w:val="0"/>
        <w:autoSpaceDE/>
        <w:autoSpaceDN/>
        <w:bidi w:val="0"/>
        <w:adjustRightInd/>
        <w:spacing w:beforeLines="0" w:afterLines="0" w:line="560" w:lineRule="exact"/>
        <w:ind w:left="0" w:firstLine="640" w:firstLineChars="200"/>
        <w:jc w:val="both"/>
        <w:textAlignment w:val="auto"/>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（七）指导社区自治。指导社区居委会建设，健全自治平台，组织社区居民和单位参与社区建设和管理。</w:t>
      </w:r>
    </w:p>
    <w:p w14:paraId="51A28B13">
      <w:pPr>
        <w:keepNext w:val="0"/>
        <w:keepLines w:val="0"/>
        <w:pageBreakBefore w:val="0"/>
        <w:kinsoku/>
        <w:overflowPunct/>
        <w:topLinePunct w:val="0"/>
        <w:autoSpaceDE/>
        <w:autoSpaceDN/>
        <w:bidi w:val="0"/>
        <w:adjustRightInd/>
        <w:spacing w:line="560" w:lineRule="exact"/>
        <w:ind w:left="0" w:firstLine="640" w:firstLineChars="20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sz w:val="32"/>
          <w:szCs w:val="32"/>
          <w:lang w:val="en-US" w:eastAsia="zh-CN"/>
        </w:rPr>
        <w:t>（八）依照《村民委员会组织法》，加强对村工作的指导。充分发挥村民自治组织的作用，调动村民委员会和农民自我管理、自我服务的主动性和创造性。</w:t>
      </w:r>
    </w:p>
    <w:p w14:paraId="2EEA3CAF">
      <w:pPr>
        <w:pStyle w:val="31"/>
        <w:keepNext w:val="0"/>
        <w:keepLines w:val="0"/>
        <w:pageBreakBefore w:val="0"/>
        <w:widowControl w:val="0"/>
        <w:tabs>
          <w:tab w:val="right" w:leader="dot" w:pos="8306"/>
        </w:tabs>
        <w:kinsoku/>
        <w:overflowPunct/>
        <w:topLinePunct w:val="0"/>
        <w:autoSpaceDE/>
        <w:autoSpaceDN/>
        <w:bidi w:val="0"/>
        <w:adjustRightInd/>
        <w:spacing w:beforeLines="0" w:afterLines="0" w:line="560" w:lineRule="exact"/>
        <w:ind w:left="0" w:firstLine="640" w:firstLineChars="200"/>
        <w:jc w:val="both"/>
        <w:textAlignment w:val="auto"/>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（九）维护社区平安。负责辖区社会治安综合治理、安全生产监督管理、应急管理等工作，开展平安建设，处理群众来信来访，反映社情民意，化解矛盾纠纷，维护辖区社会稳定等。</w:t>
      </w:r>
    </w:p>
    <w:p w14:paraId="56CC6550">
      <w:pPr>
        <w:keepNext w:val="0"/>
        <w:keepLines w:val="0"/>
        <w:pageBreakBefore w:val="0"/>
        <w:kinsoku/>
        <w:overflowPunct/>
        <w:topLinePunct w:val="0"/>
        <w:autoSpaceDE/>
        <w:autoSpaceDN/>
        <w:bidi w:val="0"/>
        <w:adjustRightInd/>
        <w:spacing w:line="560" w:lineRule="exact"/>
        <w:ind w:left="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（十）落实《国防法》、《兵役法》和《民兵工作条例》，负责区域内民兵组织建设、政治建设、军事训练等工作。</w:t>
      </w:r>
    </w:p>
    <w:p w14:paraId="5AB7AFB3">
      <w:pPr>
        <w:keepNext w:val="0"/>
        <w:keepLines w:val="0"/>
        <w:pageBreakBefore w:val="0"/>
        <w:kinsoku/>
        <w:overflowPunct/>
        <w:topLinePunct w:val="0"/>
        <w:autoSpaceDE/>
        <w:autoSpaceDN/>
        <w:bidi w:val="0"/>
        <w:adjustRightInd/>
        <w:spacing w:line="560" w:lineRule="exact"/>
        <w:ind w:left="0"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2"/>
          <w:sz w:val="32"/>
          <w:szCs w:val="32"/>
        </w:rPr>
        <w:t>（十一）完成市委、市政府交办的其他任务。</w:t>
      </w:r>
    </w:p>
    <w:p w14:paraId="4426EB8D">
      <w:pPr>
        <w:widowControl/>
        <w:numPr>
          <w:ilvl w:val="0"/>
          <w:numId w:val="1"/>
        </w:numPr>
        <w:spacing w:before="240" w:after="240"/>
        <w:ind w:left="393" w:leftChars="0" w:firstLine="0" w:firstLineChars="0"/>
        <w:jc w:val="left"/>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部门（单位）机构设置及决算单位构成情况</w:t>
      </w:r>
    </w:p>
    <w:p w14:paraId="02E2EDEB">
      <w:pPr>
        <w:keepNext w:val="0"/>
        <w:keepLines w:val="0"/>
        <w:pageBreakBefore w:val="0"/>
        <w:kinsoku/>
        <w:overflowPunct/>
        <w:topLinePunct w:val="0"/>
        <w:autoSpaceDE/>
        <w:autoSpaceDN/>
        <w:bidi w:val="0"/>
        <w:adjustRightInd/>
        <w:spacing w:line="560" w:lineRule="exact"/>
        <w:ind w:left="0" w:firstLine="6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auto"/>
          <w:kern w:val="2"/>
          <w:sz w:val="32"/>
          <w:szCs w:val="32"/>
          <w:lang w:val="en-US" w:eastAsia="zh-CN"/>
        </w:rPr>
        <w:t>1、</w:t>
      </w:r>
      <w:r>
        <w:rPr>
          <w:rFonts w:hint="eastAsia" w:ascii="仿宋_GB2312" w:hAnsi="仿宋_GB2312" w:eastAsia="仿宋_GB2312" w:cs="仿宋_GB2312"/>
          <w:color w:val="auto"/>
          <w:kern w:val="2"/>
          <w:sz w:val="32"/>
          <w:szCs w:val="32"/>
        </w:rPr>
        <w:t>根据部门职责分工，本部门内设机构包括</w:t>
      </w:r>
      <w:r>
        <w:rPr>
          <w:rFonts w:hint="eastAsia" w:ascii="仿宋_GB2312" w:hAnsi="仿宋_GB2312" w:eastAsia="仿宋_GB2312" w:cs="仿宋_GB2312"/>
          <w:kern w:val="2"/>
          <w:sz w:val="32"/>
          <w:szCs w:val="32"/>
        </w:rPr>
        <w:t>五个办公室，两个</w:t>
      </w:r>
      <w:r>
        <w:rPr>
          <w:rFonts w:hint="eastAsia" w:ascii="仿宋_GB2312" w:hAnsi="仿宋_GB2312" w:eastAsia="仿宋_GB2312" w:cs="仿宋_GB2312"/>
          <w:kern w:val="2"/>
          <w:sz w:val="32"/>
          <w:szCs w:val="32"/>
          <w:lang w:val="en-US" w:eastAsia="zh-CN"/>
        </w:rPr>
        <w:t>非独立核算</w:t>
      </w:r>
      <w:r>
        <w:rPr>
          <w:rFonts w:hint="eastAsia" w:ascii="仿宋_GB2312" w:hAnsi="仿宋_GB2312" w:eastAsia="仿宋_GB2312" w:cs="仿宋_GB2312"/>
          <w:kern w:val="2"/>
          <w:sz w:val="32"/>
          <w:szCs w:val="32"/>
        </w:rPr>
        <w:t>事业单位，五个办公室即：党政综合办公室、基层党的建设办公室、城市管理办公室、社会事务办公室、平安建设办公室。两个事业单位分别为党群服务中心，综合行政执法</w:t>
      </w:r>
      <w:r>
        <w:rPr>
          <w:rFonts w:hint="eastAsia" w:ascii="仿宋_GB2312" w:hAnsi="仿宋_GB2312" w:eastAsia="仿宋_GB2312" w:cs="仿宋_GB2312"/>
          <w:color w:val="000000"/>
          <w:sz w:val="32"/>
          <w:szCs w:val="32"/>
        </w:rPr>
        <w:t>局。</w:t>
      </w:r>
      <w:r>
        <w:rPr>
          <w:rFonts w:hint="eastAsia" w:ascii="仿宋_GB2312" w:hAnsi="仿宋_GB2312" w:eastAsia="仿宋_GB2312" w:cs="仿宋_GB2312"/>
          <w:color w:val="auto"/>
          <w:sz w:val="32"/>
          <w:szCs w:val="32"/>
          <w:lang w:eastAsia="zh-CN"/>
        </w:rPr>
        <w:t>河西街道办事处无下属单位。</w:t>
      </w:r>
    </w:p>
    <w:p w14:paraId="197779BC">
      <w:pPr>
        <w:keepNext w:val="0"/>
        <w:keepLines w:val="0"/>
        <w:pageBreakBefore w:val="0"/>
        <w:kinsoku/>
        <w:overflowPunct/>
        <w:topLinePunct w:val="0"/>
        <w:autoSpaceDE/>
        <w:autoSpaceDN/>
        <w:bidi w:val="0"/>
        <w:adjustRightInd/>
        <w:snapToGrid w:val="0"/>
        <w:spacing w:line="560" w:lineRule="exact"/>
        <w:ind w:left="0" w:firstLine="640"/>
        <w:textAlignment w:val="auto"/>
        <w:rPr>
          <w:rFonts w:hint="eastAsia" w:ascii="仿宋_GB2312" w:hAnsi="仿宋_GB2312" w:eastAsia="仿宋_GB2312" w:cs="仿宋_GB2312"/>
          <w:b/>
          <w:bCs/>
          <w:kern w:val="0"/>
          <w:sz w:val="32"/>
          <w:szCs w:val="32"/>
        </w:rPr>
      </w:pPr>
      <w:r>
        <w:rPr>
          <w:rFonts w:hint="eastAsia" w:ascii="仿宋_GB2312" w:hAnsi="仿宋_GB2312" w:eastAsia="仿宋_GB2312" w:cs="仿宋_GB2312"/>
          <w:sz w:val="32"/>
          <w:szCs w:val="32"/>
        </w:rPr>
        <w:t>扎兰屯市</w:t>
      </w:r>
      <w:r>
        <w:rPr>
          <w:rFonts w:hint="eastAsia" w:ascii="仿宋_GB2312" w:hAnsi="仿宋_GB2312" w:eastAsia="仿宋_GB2312" w:cs="仿宋_GB2312"/>
          <w:sz w:val="32"/>
          <w:szCs w:val="32"/>
          <w:lang w:eastAsia="zh-CN"/>
        </w:rPr>
        <w:t>河西街道</w:t>
      </w:r>
      <w:r>
        <w:rPr>
          <w:rFonts w:hint="eastAsia" w:ascii="仿宋_GB2312" w:hAnsi="仿宋_GB2312" w:eastAsia="仿宋_GB2312" w:cs="仿宋_GB2312"/>
          <w:sz w:val="32"/>
          <w:szCs w:val="32"/>
        </w:rPr>
        <w:t>办事处为市委、市政府派出机构，代表市委、市政府对</w:t>
      </w:r>
      <w:r>
        <w:rPr>
          <w:rFonts w:hint="eastAsia" w:ascii="仿宋_GB2312" w:hAnsi="仿宋_GB2312" w:eastAsia="仿宋_GB2312" w:cs="仿宋_GB2312"/>
          <w:sz w:val="32"/>
          <w:szCs w:val="32"/>
          <w:lang w:eastAsia="zh-CN"/>
        </w:rPr>
        <w:t>河西</w:t>
      </w:r>
      <w:r>
        <w:rPr>
          <w:rFonts w:hint="eastAsia" w:ascii="仿宋_GB2312" w:hAnsi="仿宋_GB2312" w:eastAsia="仿宋_GB2312" w:cs="仿宋_GB2312"/>
          <w:sz w:val="32"/>
          <w:szCs w:val="32"/>
        </w:rPr>
        <w:t>辖区行使管理权。本级及下设独立预算单位共有1家，其中：财政拨款的行政单位1家。</w:t>
      </w:r>
    </w:p>
    <w:p w14:paraId="093A4A3F">
      <w:pPr>
        <w:widowControl/>
        <w:shd w:val="clear" w:color="auto" w:fill="FFFFFF"/>
        <w:spacing w:line="560" w:lineRule="atLeast"/>
        <w:ind w:firstLine="64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2.从决算单位构成看，纳入本部门决算编制范围的预算单位共计</w:t>
      </w:r>
      <w:r>
        <w:rPr>
          <w:rFonts w:hint="eastAsia" w:ascii="仿宋_GB2312" w:hAnsi="仿宋_GB2312" w:eastAsia="仿宋_GB2312" w:cs="仿宋_GB2312"/>
          <w:kern w:val="0"/>
          <w:sz w:val="32"/>
          <w:szCs w:val="32"/>
          <w:u w:val="single"/>
          <w:lang w:val="en-US" w:eastAsia="zh-CN"/>
        </w:rPr>
        <w:t>1</w:t>
      </w:r>
      <w:r>
        <w:rPr>
          <w:rFonts w:hint="eastAsia" w:ascii="仿宋_GB2312" w:hAnsi="仿宋_GB2312" w:eastAsia="仿宋_GB2312" w:cs="仿宋_GB2312"/>
          <w:kern w:val="0"/>
          <w:sz w:val="32"/>
          <w:szCs w:val="32"/>
        </w:rPr>
        <w:t>家，具体包括：</w:t>
      </w:r>
      <w:r>
        <w:rPr>
          <w:rFonts w:hint="eastAsia" w:ascii="仿宋_GB2312" w:hAnsi="仿宋_GB2312" w:eastAsia="仿宋_GB2312" w:cs="仿宋_GB2312"/>
          <w:sz w:val="32"/>
          <w:szCs w:val="32"/>
        </w:rPr>
        <w:t>河西</w:t>
      </w:r>
      <w:r>
        <w:rPr>
          <w:rFonts w:hint="eastAsia" w:ascii="仿宋_GB2312" w:hAnsi="仿宋_GB2312" w:eastAsia="仿宋_GB2312" w:cs="仿宋_GB2312"/>
          <w:sz w:val="32"/>
          <w:szCs w:val="32"/>
          <w:lang w:eastAsia="zh-CN"/>
        </w:rPr>
        <w:t>街道</w:t>
      </w:r>
      <w:r>
        <w:rPr>
          <w:rFonts w:hint="eastAsia" w:ascii="仿宋_GB2312" w:hAnsi="仿宋_GB2312" w:eastAsia="仿宋_GB2312" w:cs="仿宋_GB2312"/>
          <w:sz w:val="32"/>
          <w:szCs w:val="32"/>
        </w:rPr>
        <w:t>办事处本级</w:t>
      </w:r>
      <w:r>
        <w:rPr>
          <w:rFonts w:hint="eastAsia" w:ascii="仿宋_GB2312" w:hAnsi="仿宋_GB2312" w:eastAsia="仿宋_GB2312" w:cs="仿宋_GB2312"/>
          <w:sz w:val="32"/>
          <w:szCs w:val="32"/>
          <w:lang w:eastAsia="zh-CN"/>
        </w:rPr>
        <w:t>决算</w:t>
      </w:r>
      <w:r>
        <w:rPr>
          <w:rFonts w:hint="eastAsia" w:ascii="仿宋_GB2312" w:hAnsi="仿宋_GB2312" w:eastAsia="仿宋_GB2312" w:cs="仿宋_GB2312"/>
          <w:sz w:val="32"/>
          <w:szCs w:val="32"/>
        </w:rPr>
        <w:t>算和河西办事处部门单位</w:t>
      </w:r>
      <w:r>
        <w:rPr>
          <w:rFonts w:hint="eastAsia" w:ascii="仿宋_GB2312" w:hAnsi="仿宋_GB2312" w:eastAsia="仿宋_GB2312" w:cs="仿宋_GB2312"/>
          <w:sz w:val="32"/>
          <w:szCs w:val="32"/>
          <w:lang w:eastAsia="zh-CN"/>
        </w:rPr>
        <w:t>决</w:t>
      </w:r>
      <w:r>
        <w:rPr>
          <w:rFonts w:hint="eastAsia" w:ascii="仿宋_GB2312" w:hAnsi="仿宋_GB2312" w:eastAsia="仿宋_GB2312" w:cs="仿宋_GB2312"/>
          <w:sz w:val="32"/>
          <w:szCs w:val="32"/>
        </w:rPr>
        <w:t>算。</w:t>
      </w:r>
      <w:r>
        <w:rPr>
          <w:rFonts w:hint="eastAsia" w:ascii="仿宋_GB2312" w:hAnsi="仿宋_GB2312" w:eastAsia="仿宋_GB2312" w:cs="仿宋_GB2312"/>
          <w:kern w:val="0"/>
          <w:sz w:val="32"/>
          <w:szCs w:val="32"/>
        </w:rPr>
        <w:t>详细情况见表：</w:t>
      </w:r>
    </w:p>
    <w:tbl>
      <w:tblPr>
        <w:tblStyle w:val="20"/>
        <w:tblW w:w="11790" w:type="dxa"/>
        <w:jc w:val="center"/>
        <w:tblCellSpacing w:w="15" w:type="dxa"/>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fixed"/>
        <w:tblCellMar>
          <w:top w:w="15" w:type="dxa"/>
          <w:left w:w="15" w:type="dxa"/>
          <w:bottom w:w="15" w:type="dxa"/>
          <w:right w:w="15" w:type="dxa"/>
        </w:tblCellMar>
      </w:tblPr>
      <w:tblGrid>
        <w:gridCol w:w="1371"/>
        <w:gridCol w:w="6809"/>
        <w:gridCol w:w="3610"/>
      </w:tblGrid>
      <w:tr w14:paraId="58E2BE95">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rPr>
          <w:trHeight w:val="460" w:hRule="atLeast"/>
          <w:tblHeader/>
          <w:tblCellSpacing w:w="15" w:type="dxa"/>
          <w:jc w:val="center"/>
        </w:trPr>
        <w:tc>
          <w:tcPr>
            <w:tcW w:w="1326"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2C9420CD">
            <w:pPr>
              <w:widowControl/>
              <w:jc w:val="center"/>
              <w:rPr>
                <w:rFonts w:hint="eastAsia" w:ascii="仿宋_GB2312" w:hAnsi="仿宋_GB2312" w:eastAsia="仿宋_GB2312" w:cs="仿宋_GB2312"/>
                <w:b w:val="0"/>
                <w:bCs w:val="0"/>
                <w:i w:val="0"/>
                <w:iCs w:val="0"/>
                <w:smallCaps w:val="0"/>
                <w:color w:val="000000"/>
                <w:kern w:val="0"/>
                <w:sz w:val="32"/>
                <w:szCs w:val="32"/>
              </w:rPr>
            </w:pPr>
            <w:r>
              <w:rPr>
                <w:rFonts w:hint="eastAsia" w:ascii="仿宋_GB2312" w:hAnsi="仿宋_GB2312" w:eastAsia="仿宋_GB2312" w:cs="仿宋_GB2312"/>
                <w:b w:val="0"/>
                <w:bCs w:val="0"/>
                <w:i w:val="0"/>
                <w:iCs w:val="0"/>
                <w:smallCaps w:val="0"/>
                <w:color w:val="000000"/>
                <w:kern w:val="0"/>
                <w:sz w:val="32"/>
                <w:szCs w:val="32"/>
              </w:rPr>
              <w:t>序号</w:t>
            </w:r>
          </w:p>
        </w:tc>
        <w:tc>
          <w:tcPr>
            <w:tcW w:w="6779"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1E4ACC9B">
            <w:pPr>
              <w:widowControl/>
              <w:jc w:val="center"/>
              <w:rPr>
                <w:rFonts w:hint="eastAsia" w:ascii="仿宋_GB2312" w:hAnsi="仿宋_GB2312" w:eastAsia="仿宋_GB2312" w:cs="仿宋_GB2312"/>
                <w:b w:val="0"/>
                <w:bCs w:val="0"/>
                <w:i w:val="0"/>
                <w:iCs w:val="0"/>
                <w:smallCaps w:val="0"/>
                <w:color w:val="000000"/>
                <w:kern w:val="0"/>
                <w:sz w:val="32"/>
                <w:szCs w:val="32"/>
              </w:rPr>
            </w:pPr>
            <w:r>
              <w:rPr>
                <w:rFonts w:hint="eastAsia" w:ascii="仿宋_GB2312" w:hAnsi="仿宋_GB2312" w:eastAsia="仿宋_GB2312" w:cs="仿宋_GB2312"/>
                <w:b w:val="0"/>
                <w:bCs w:val="0"/>
                <w:i w:val="0"/>
                <w:iCs w:val="0"/>
                <w:smallCaps w:val="0"/>
                <w:color w:val="000000"/>
                <w:kern w:val="0"/>
                <w:sz w:val="32"/>
                <w:szCs w:val="32"/>
              </w:rPr>
              <w:t>单位名称</w:t>
            </w:r>
          </w:p>
        </w:tc>
        <w:tc>
          <w:tcPr>
            <w:tcW w:w="3565"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4BDF1AE8">
            <w:pPr>
              <w:widowControl/>
              <w:jc w:val="center"/>
              <w:rPr>
                <w:rFonts w:hint="eastAsia" w:ascii="仿宋_GB2312" w:hAnsi="仿宋_GB2312" w:eastAsia="仿宋_GB2312" w:cs="仿宋_GB2312"/>
                <w:b w:val="0"/>
                <w:bCs w:val="0"/>
                <w:i w:val="0"/>
                <w:iCs w:val="0"/>
                <w:smallCaps w:val="0"/>
                <w:color w:val="000000"/>
                <w:kern w:val="0"/>
                <w:sz w:val="32"/>
                <w:szCs w:val="32"/>
              </w:rPr>
            </w:pPr>
            <w:r>
              <w:rPr>
                <w:rFonts w:hint="eastAsia" w:ascii="仿宋_GB2312" w:hAnsi="仿宋_GB2312" w:eastAsia="仿宋_GB2312" w:cs="仿宋_GB2312"/>
                <w:b w:val="0"/>
                <w:bCs w:val="0"/>
                <w:i w:val="0"/>
                <w:iCs w:val="0"/>
                <w:smallCaps w:val="0"/>
                <w:color w:val="000000"/>
                <w:kern w:val="0"/>
                <w:sz w:val="32"/>
                <w:szCs w:val="32"/>
              </w:rPr>
              <w:t>单位性质</w:t>
            </w:r>
          </w:p>
        </w:tc>
      </w:tr>
      <w:tr w14:paraId="692D4F52">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rPr>
          <w:trHeight w:val="368" w:hRule="atLeast"/>
          <w:tblCellSpacing w:w="15" w:type="dxa"/>
          <w:jc w:val="center"/>
        </w:trPr>
        <w:tc>
          <w:tcPr>
            <w:tcW w:w="1326"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343956AA">
            <w:pPr>
              <w:widowControl/>
              <w:jc w:val="center"/>
              <w:rPr>
                <w:rFonts w:hint="eastAsia" w:ascii="仿宋_GB2312" w:hAnsi="仿宋_GB2312" w:eastAsia="仿宋_GB2312" w:cs="仿宋_GB2312"/>
                <w:b w:val="0"/>
                <w:bCs w:val="0"/>
                <w:i w:val="0"/>
                <w:iCs w:val="0"/>
                <w:smallCaps w:val="0"/>
                <w:color w:val="000000"/>
                <w:kern w:val="0"/>
                <w:sz w:val="32"/>
                <w:szCs w:val="32"/>
              </w:rPr>
            </w:pPr>
            <w:r>
              <w:rPr>
                <w:rFonts w:hint="eastAsia" w:ascii="仿宋_GB2312" w:hAnsi="仿宋_GB2312" w:eastAsia="仿宋_GB2312" w:cs="仿宋_GB2312"/>
                <w:b w:val="0"/>
                <w:bCs w:val="0"/>
                <w:i w:val="0"/>
                <w:iCs w:val="0"/>
                <w:smallCaps w:val="0"/>
                <w:color w:val="000000"/>
                <w:kern w:val="0"/>
                <w:sz w:val="32"/>
                <w:szCs w:val="32"/>
              </w:rPr>
              <w:t>1</w:t>
            </w:r>
          </w:p>
        </w:tc>
        <w:tc>
          <w:tcPr>
            <w:tcW w:w="6779"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27F12D06">
            <w:pPr>
              <w:widowControl/>
              <w:jc w:val="left"/>
              <w:rPr>
                <w:rFonts w:hint="eastAsia" w:ascii="仿宋_GB2312" w:hAnsi="仿宋_GB2312" w:eastAsia="仿宋_GB2312" w:cs="仿宋_GB2312"/>
                <w:b w:val="0"/>
                <w:bCs w:val="0"/>
                <w:i w:val="0"/>
                <w:iCs w:val="0"/>
                <w:smallCaps w:val="0"/>
                <w:color w:val="000000"/>
                <w:kern w:val="0"/>
                <w:sz w:val="32"/>
                <w:szCs w:val="32"/>
                <w:lang w:eastAsia="zh-CN"/>
              </w:rPr>
            </w:pPr>
            <w:r>
              <w:rPr>
                <w:rFonts w:hint="eastAsia" w:ascii="仿宋_GB2312" w:hAnsi="仿宋_GB2312" w:eastAsia="仿宋_GB2312" w:cs="仿宋_GB2312"/>
                <w:b w:val="0"/>
                <w:bCs w:val="0"/>
                <w:i w:val="0"/>
                <w:iCs w:val="0"/>
                <w:smallCaps w:val="0"/>
                <w:color w:val="000000"/>
                <w:kern w:val="0"/>
                <w:sz w:val="32"/>
                <w:szCs w:val="32"/>
                <w:lang w:eastAsia="zh-CN"/>
              </w:rPr>
              <w:t>扎兰屯市河西街道办事处</w:t>
            </w:r>
          </w:p>
        </w:tc>
        <w:tc>
          <w:tcPr>
            <w:tcW w:w="3565"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158CE59F">
            <w:pPr>
              <w:widowControl/>
              <w:jc w:val="left"/>
              <w:rPr>
                <w:rFonts w:hint="eastAsia" w:ascii="仿宋_GB2312" w:hAnsi="仿宋_GB2312" w:eastAsia="仿宋_GB2312" w:cs="仿宋_GB2312"/>
                <w:b w:val="0"/>
                <w:bCs w:val="0"/>
                <w:i w:val="0"/>
                <w:iCs w:val="0"/>
                <w:smallCaps w:val="0"/>
                <w:color w:val="000000"/>
                <w:kern w:val="0"/>
                <w:sz w:val="32"/>
                <w:szCs w:val="32"/>
              </w:rPr>
            </w:pPr>
            <w:r>
              <w:rPr>
                <w:rFonts w:hint="eastAsia" w:ascii="仿宋_GB2312" w:hAnsi="仿宋_GB2312" w:eastAsia="仿宋_GB2312" w:cs="仿宋_GB2312"/>
                <w:b w:val="0"/>
                <w:bCs w:val="0"/>
                <w:i w:val="0"/>
                <w:iCs w:val="0"/>
                <w:smallCaps w:val="0"/>
                <w:color w:val="000000"/>
                <w:kern w:val="0"/>
                <w:sz w:val="32"/>
                <w:szCs w:val="32"/>
              </w:rPr>
              <w:t>行政单位</w:t>
            </w:r>
          </w:p>
        </w:tc>
      </w:tr>
    </w:tbl>
    <w:p w14:paraId="41C5F18D">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color w:val="0E00FE"/>
          <w:kern w:val="0"/>
          <w:sz w:val="32"/>
          <w:szCs w:val="32"/>
        </w:rPr>
        <w:t xml:space="preserve">    </w:t>
      </w:r>
    </w:p>
    <w:p w14:paraId="0B941E9C">
      <w:pPr>
        <w:widowControl/>
        <w:spacing w:before="240" w:after="240"/>
        <w:ind w:firstLine="393"/>
        <w:jc w:val="left"/>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三、2024年度部门（单位）主要工作完成情况</w:t>
      </w:r>
    </w:p>
    <w:p w14:paraId="39D3E9ED">
      <w:pPr>
        <w:widowControl/>
        <w:spacing w:before="240" w:after="240"/>
        <w:jc w:val="left"/>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b w:val="0"/>
          <w:bCs w:val="0"/>
          <w:kern w:val="0"/>
          <w:sz w:val="32"/>
          <w:szCs w:val="32"/>
        </w:rPr>
        <w:t> </w:t>
      </w:r>
      <w:r>
        <w:rPr>
          <w:rFonts w:hint="eastAsia" w:ascii="仿宋_GB2312" w:hAnsi="仿宋_GB2312" w:eastAsia="仿宋_GB2312" w:cs="仿宋_GB2312"/>
          <w:b w:val="0"/>
          <w:bCs w:val="0"/>
          <w:kern w:val="0"/>
          <w:sz w:val="32"/>
          <w:szCs w:val="32"/>
          <w:lang w:val="en-US" w:eastAsia="zh-CN"/>
        </w:rPr>
        <w:t xml:space="preserve">   </w:t>
      </w:r>
      <w:r>
        <w:rPr>
          <w:rFonts w:hint="eastAsia" w:ascii="仿宋_GB2312" w:hAnsi="仿宋_GB2312" w:eastAsia="仿宋_GB2312" w:cs="仿宋_GB2312"/>
          <w:b w:val="0"/>
          <w:bCs w:val="0"/>
          <w:kern w:val="0"/>
          <w:sz w:val="32"/>
          <w:szCs w:val="32"/>
        </w:rPr>
        <w:t>2024年，在市委、市政府的正确领导下，河西街道深入学习贯彻党的二十大和二十届二中、三中全会精神，认真贯彻落实习近平总书记对内蒙古的重要指示精神，以铸牢中华民族共同体意识为工作主线，聚焦办好两件大事，精心实施“六个工程”，切实做到“九个争先”，奋力推动经济社会高质量发展取得新进展、新成效，为建设高质量发展样板城市作出河西贡献</w:t>
      </w:r>
      <w:r>
        <w:rPr>
          <w:rFonts w:hint="eastAsia" w:ascii="仿宋_GB2312" w:hAnsi="仿宋_GB2312" w:eastAsia="仿宋_GB2312" w:cs="仿宋_GB2312"/>
          <w:b w:val="0"/>
          <w:bCs w:val="0"/>
          <w:kern w:val="0"/>
          <w:sz w:val="32"/>
          <w:szCs w:val="32"/>
          <w:lang w:eastAsia="zh-CN"/>
        </w:rPr>
        <w:t>。</w:t>
      </w:r>
    </w:p>
    <w:p w14:paraId="1F82240A">
      <w:pPr>
        <w:pStyle w:val="3"/>
        <w:keepNext w:val="0"/>
        <w:keepLines w:val="0"/>
        <w:widowControl/>
        <w:spacing w:before="299" w:after="299" w:line="240" w:lineRule="auto"/>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kern w:val="0"/>
          <w:sz w:val="32"/>
          <w:szCs w:val="32"/>
        </w:rPr>
        <w:t>第二部分 部门（单位）决算情况说明</w:t>
      </w:r>
    </w:p>
    <w:p w14:paraId="24F63709">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    一、收入支出决算总体情况说明</w:t>
      </w:r>
    </w:p>
    <w:p w14:paraId="69D4CF97">
      <w:pPr>
        <w:keepNext w:val="0"/>
        <w:keepLines w:val="0"/>
        <w:pageBreakBefore w:val="0"/>
        <w:widowControl/>
        <w:numPr>
          <w:ilvl w:val="0"/>
          <w:numId w:val="0"/>
        </w:numPr>
        <w:kinsoku/>
        <w:wordWrap/>
        <w:overflowPunct/>
        <w:topLinePunct w:val="0"/>
        <w:autoSpaceDE/>
        <w:autoSpaceDN/>
        <w:bidi w:val="0"/>
        <w:adjustRightInd/>
        <w:snapToGrid/>
        <w:spacing w:line="560" w:lineRule="exact"/>
        <w:ind w:firstLine="320" w:firstLineChars="100"/>
        <w:jc w:val="left"/>
        <w:textAlignment w:val="auto"/>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kern w:val="0"/>
          <w:sz w:val="32"/>
          <w:szCs w:val="32"/>
        </w:rPr>
        <w:t xml:space="preserve"> </w:t>
      </w:r>
      <w:r>
        <w:rPr>
          <w:rFonts w:hint="eastAsia" w:ascii="仿宋_GB2312" w:hAnsi="仿宋_GB2312" w:eastAsia="仿宋_GB2312" w:cs="仿宋_GB2312"/>
          <w:kern w:val="0"/>
          <w:sz w:val="32"/>
          <w:szCs w:val="32"/>
          <w:u w:val="none" w:color="auto"/>
        </w:rPr>
        <w:t> </w:t>
      </w:r>
      <w:r>
        <w:rPr>
          <w:rFonts w:hint="eastAsia" w:ascii="仿宋_GB2312" w:hAnsi="仿宋_GB2312" w:eastAsia="仿宋_GB2312" w:cs="仿宋_GB2312"/>
          <w:color w:val="000000"/>
          <w:kern w:val="0"/>
          <w:sz w:val="32"/>
          <w:szCs w:val="32"/>
          <w:u w:val="none" w:color="auto"/>
        </w:rPr>
        <w:t> 内蒙古自治区呼伦贝尔市扎兰屯市河西街道办事处 2024年度收入、支出决算总计均为 795.90万元。与年初预算相比，收、支总计各增加 5.57万元，增长 0.70%，变动原因：</w:t>
      </w:r>
      <w:r>
        <w:rPr>
          <w:rFonts w:hint="eastAsia" w:ascii="仿宋_GB2312" w:hAnsi="仿宋_GB2312" w:eastAsia="仿宋_GB2312" w:cs="仿宋_GB2312"/>
          <w:color w:val="000000"/>
          <w:kern w:val="0"/>
          <w:sz w:val="32"/>
          <w:szCs w:val="32"/>
          <w:u w:val="none" w:color="auto"/>
          <w:lang w:eastAsia="zh-CN"/>
        </w:rPr>
        <w:t>一是较预算增加</w:t>
      </w:r>
      <w:r>
        <w:rPr>
          <w:rFonts w:hint="eastAsia" w:ascii="仿宋_GB2312" w:hAnsi="仿宋_GB2312" w:eastAsia="仿宋_GB2312" w:cs="仿宋_GB2312"/>
          <w:color w:val="000000"/>
          <w:kern w:val="0"/>
          <w:sz w:val="32"/>
          <w:szCs w:val="32"/>
          <w:u w:val="none" w:color="auto"/>
          <w:lang w:val="en-US" w:eastAsia="zh-CN"/>
        </w:rPr>
        <w:t>2名退休人员职业年金收、支；二是增加社区党组织服务群众项目与社区党组织工作项目的收、支</w:t>
      </w:r>
      <w:r>
        <w:rPr>
          <w:rFonts w:hint="eastAsia" w:ascii="仿宋_GB2312" w:hAnsi="仿宋_GB2312" w:eastAsia="仿宋_GB2312" w:cs="仿宋_GB2312"/>
          <w:color w:val="000000"/>
          <w:kern w:val="0"/>
          <w:sz w:val="32"/>
          <w:szCs w:val="32"/>
          <w:u w:val="none" w:color="auto"/>
        </w:rPr>
        <w:t>；与上年决算相比，收、支总计各增加 17.66万元，增长2.27%。其中：</w:t>
      </w:r>
      <w:r>
        <w:rPr>
          <w:rFonts w:hint="eastAsia" w:ascii="仿宋_GB2312" w:hAnsi="仿宋_GB2312" w:eastAsia="仿宋_GB2312" w:cs="仿宋_GB2312"/>
          <w:kern w:val="0"/>
          <w:sz w:val="32"/>
          <w:szCs w:val="32"/>
          <w:u w:val="none" w:color="auto"/>
          <w:lang w:eastAsia="zh-CN"/>
        </w:rPr>
        <w:t>一般公共服务支出增加</w:t>
      </w:r>
      <w:r>
        <w:rPr>
          <w:rFonts w:hint="eastAsia" w:ascii="仿宋_GB2312" w:hAnsi="仿宋_GB2312" w:eastAsia="仿宋_GB2312" w:cs="仿宋_GB2312"/>
          <w:kern w:val="0"/>
          <w:sz w:val="32"/>
          <w:szCs w:val="32"/>
          <w:u w:val="none" w:color="auto"/>
          <w:lang w:val="en-US" w:eastAsia="zh-CN"/>
        </w:rPr>
        <w:t>154.32万元，</w:t>
      </w:r>
      <w:r>
        <w:rPr>
          <w:rFonts w:hint="eastAsia" w:ascii="仿宋_GB2312" w:hAnsi="仿宋_GB2312" w:eastAsia="仿宋_GB2312" w:cs="仿宋_GB2312"/>
          <w:kern w:val="0"/>
          <w:sz w:val="32"/>
          <w:szCs w:val="32"/>
          <w:u w:val="none" w:color="auto"/>
          <w:lang w:eastAsia="zh-CN"/>
        </w:rPr>
        <w:t>文化旅游体育与传媒支出</w:t>
      </w:r>
      <w:r>
        <w:rPr>
          <w:rFonts w:hint="eastAsia" w:ascii="仿宋_GB2312" w:hAnsi="仿宋_GB2312" w:eastAsia="仿宋_GB2312" w:cs="仿宋_GB2312"/>
          <w:kern w:val="0"/>
          <w:sz w:val="32"/>
          <w:szCs w:val="32"/>
          <w:u w:val="none" w:color="auto"/>
          <w:lang w:val="en-US" w:eastAsia="zh-CN"/>
        </w:rPr>
        <w:t>减少37.28万元</w:t>
      </w:r>
      <w:r>
        <w:rPr>
          <w:rFonts w:hint="eastAsia" w:ascii="仿宋_GB2312" w:hAnsi="仿宋_GB2312" w:eastAsia="仿宋_GB2312" w:cs="仿宋_GB2312"/>
          <w:kern w:val="0"/>
          <w:sz w:val="32"/>
          <w:szCs w:val="32"/>
          <w:u w:val="none" w:color="auto"/>
          <w:lang w:eastAsia="zh-CN"/>
        </w:rPr>
        <w:t>，社会保障和就业支出减少</w:t>
      </w:r>
      <w:r>
        <w:rPr>
          <w:rFonts w:hint="eastAsia" w:ascii="仿宋_GB2312" w:hAnsi="仿宋_GB2312" w:eastAsia="仿宋_GB2312" w:cs="仿宋_GB2312"/>
          <w:kern w:val="0"/>
          <w:sz w:val="32"/>
          <w:szCs w:val="32"/>
          <w:u w:val="none" w:color="auto"/>
          <w:lang w:val="en-US" w:eastAsia="zh-CN"/>
        </w:rPr>
        <w:t>1.66万元</w:t>
      </w:r>
      <w:r>
        <w:rPr>
          <w:rFonts w:hint="eastAsia" w:ascii="仿宋_GB2312" w:hAnsi="仿宋_GB2312" w:eastAsia="仿宋_GB2312" w:cs="仿宋_GB2312"/>
          <w:kern w:val="0"/>
          <w:sz w:val="32"/>
          <w:szCs w:val="32"/>
          <w:u w:val="none" w:color="auto"/>
          <w:lang w:eastAsia="zh-CN"/>
        </w:rPr>
        <w:t>，卫生健康支出减少</w:t>
      </w:r>
      <w:r>
        <w:rPr>
          <w:rFonts w:hint="eastAsia" w:ascii="仿宋_GB2312" w:hAnsi="仿宋_GB2312" w:eastAsia="仿宋_GB2312" w:cs="仿宋_GB2312"/>
          <w:kern w:val="0"/>
          <w:sz w:val="32"/>
          <w:szCs w:val="32"/>
          <w:u w:val="none" w:color="auto"/>
          <w:lang w:val="en-US" w:eastAsia="zh-CN"/>
        </w:rPr>
        <w:t>37.52万元，</w:t>
      </w:r>
      <w:r>
        <w:rPr>
          <w:rFonts w:hint="eastAsia" w:ascii="仿宋_GB2312" w:hAnsi="仿宋_GB2312" w:eastAsia="仿宋_GB2312" w:cs="仿宋_GB2312"/>
          <w:kern w:val="0"/>
          <w:sz w:val="32"/>
          <w:szCs w:val="32"/>
          <w:u w:val="none" w:color="auto"/>
          <w:lang w:eastAsia="zh-CN"/>
        </w:rPr>
        <w:t>城乡社区支出增加</w:t>
      </w:r>
      <w:r>
        <w:rPr>
          <w:rFonts w:hint="eastAsia" w:ascii="仿宋_GB2312" w:hAnsi="仿宋_GB2312" w:eastAsia="仿宋_GB2312" w:cs="仿宋_GB2312"/>
          <w:kern w:val="0"/>
          <w:sz w:val="32"/>
          <w:szCs w:val="32"/>
          <w:u w:val="none" w:color="auto"/>
          <w:lang w:val="en-US" w:eastAsia="zh-CN"/>
        </w:rPr>
        <w:t>41.5万元，</w:t>
      </w:r>
      <w:r>
        <w:rPr>
          <w:rFonts w:hint="eastAsia" w:ascii="仿宋_GB2312" w:hAnsi="仿宋_GB2312" w:eastAsia="仿宋_GB2312" w:cs="仿宋_GB2312"/>
          <w:kern w:val="0"/>
          <w:sz w:val="32"/>
          <w:szCs w:val="32"/>
          <w:u w:val="none" w:color="auto"/>
          <w:lang w:eastAsia="zh-CN"/>
        </w:rPr>
        <w:t>农林水支出减少</w:t>
      </w:r>
      <w:r>
        <w:rPr>
          <w:rFonts w:hint="eastAsia" w:ascii="仿宋_GB2312" w:hAnsi="仿宋_GB2312" w:eastAsia="仿宋_GB2312" w:cs="仿宋_GB2312"/>
          <w:kern w:val="0"/>
          <w:sz w:val="32"/>
          <w:szCs w:val="32"/>
          <w:u w:val="none" w:color="auto"/>
          <w:lang w:val="en-US" w:eastAsia="zh-CN"/>
        </w:rPr>
        <w:t>96.31万元，</w:t>
      </w:r>
      <w:r>
        <w:rPr>
          <w:rFonts w:hint="eastAsia" w:ascii="仿宋_GB2312" w:hAnsi="仿宋_GB2312" w:eastAsia="仿宋_GB2312" w:cs="仿宋_GB2312"/>
          <w:kern w:val="0"/>
          <w:sz w:val="32"/>
          <w:szCs w:val="32"/>
          <w:u w:val="none" w:color="auto"/>
          <w:lang w:eastAsia="zh-CN"/>
        </w:rPr>
        <w:t>住房保障支出其他减少</w:t>
      </w:r>
      <w:r>
        <w:rPr>
          <w:rFonts w:hint="eastAsia" w:ascii="仿宋_GB2312" w:hAnsi="仿宋_GB2312" w:eastAsia="仿宋_GB2312" w:cs="仿宋_GB2312"/>
          <w:kern w:val="0"/>
          <w:sz w:val="32"/>
          <w:szCs w:val="32"/>
          <w:u w:val="none" w:color="auto"/>
          <w:lang w:val="en-US" w:eastAsia="zh-CN"/>
        </w:rPr>
        <w:t>1.12万元，其他</w:t>
      </w:r>
      <w:r>
        <w:rPr>
          <w:rFonts w:hint="eastAsia" w:ascii="仿宋_GB2312" w:hAnsi="仿宋_GB2312" w:eastAsia="仿宋_GB2312" w:cs="仿宋_GB2312"/>
          <w:kern w:val="0"/>
          <w:sz w:val="32"/>
          <w:szCs w:val="32"/>
          <w:u w:val="none" w:color="auto"/>
          <w:lang w:eastAsia="zh-CN"/>
        </w:rPr>
        <w:t>支出减少</w:t>
      </w:r>
      <w:r>
        <w:rPr>
          <w:rFonts w:hint="eastAsia" w:ascii="仿宋_GB2312" w:hAnsi="仿宋_GB2312" w:eastAsia="仿宋_GB2312" w:cs="仿宋_GB2312"/>
          <w:kern w:val="0"/>
          <w:sz w:val="32"/>
          <w:szCs w:val="32"/>
          <w:u w:val="none" w:color="auto"/>
          <w:lang w:val="en-US" w:eastAsia="zh-CN"/>
        </w:rPr>
        <w:t>4.27万元。</w:t>
      </w:r>
    </w:p>
    <w:p w14:paraId="0850E099">
      <w:pPr>
        <w:widowControl/>
        <w:spacing w:before="240" w:after="240"/>
        <w:jc w:val="left"/>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bCs/>
          <w:color w:val="000000"/>
          <w:kern w:val="0"/>
          <w:sz w:val="32"/>
          <w:szCs w:val="32"/>
          <w:u w:val="none" w:color="auto"/>
        </w:rPr>
        <w:t>    （一）收入决算总计 795.90万元。包括：</w:t>
      </w:r>
    </w:p>
    <w:p w14:paraId="25BB57C9">
      <w:pPr>
        <w:widowControl/>
        <w:spacing w:before="240" w:after="240"/>
        <w:rPr>
          <w:rFonts w:hint="eastAsia" w:ascii="仿宋_GB2312" w:hAnsi="仿宋_GB2312" w:eastAsia="仿宋_GB2312" w:cs="仿宋_GB2312"/>
          <w:kern w:val="0"/>
          <w:sz w:val="32"/>
          <w:szCs w:val="32"/>
          <w:u w:val="none" w:color="auto"/>
          <w:lang w:val="en-US" w:eastAsia="zh-CN"/>
        </w:rPr>
      </w:pPr>
      <w:r>
        <w:rPr>
          <w:rFonts w:hint="eastAsia" w:ascii="仿宋_GB2312" w:hAnsi="仿宋_GB2312" w:eastAsia="仿宋_GB2312" w:cs="仿宋_GB2312"/>
          <w:color w:val="000000"/>
          <w:kern w:val="0"/>
          <w:sz w:val="32"/>
          <w:szCs w:val="32"/>
          <w:u w:val="none" w:color="auto"/>
        </w:rPr>
        <w:t>    1.本年收入决算合计 795.90万元。与上年决算相比，增加 19.20万元，增长2.47%，变动原因：</w:t>
      </w:r>
      <w:r>
        <w:rPr>
          <w:rFonts w:hint="eastAsia" w:ascii="仿宋_GB2312" w:hAnsi="仿宋_GB2312" w:eastAsia="仿宋_GB2312" w:cs="仿宋_GB2312"/>
          <w:color w:val="000000"/>
          <w:kern w:val="0"/>
          <w:sz w:val="32"/>
          <w:szCs w:val="32"/>
          <w:u w:val="none" w:color="auto"/>
          <w:lang w:eastAsia="zh-CN"/>
        </w:rPr>
        <w:t>一是较上年增加居委会人员生活补助收入；二是增加工资普调及补发工资收入；三是增加社区党组织服务群众专项资金收入。</w:t>
      </w:r>
    </w:p>
    <w:p w14:paraId="42B98468">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00000"/>
          <w:kern w:val="0"/>
          <w:sz w:val="32"/>
          <w:szCs w:val="32"/>
          <w:u w:val="none" w:color="auto"/>
        </w:rPr>
        <w:t>    2.使用非财政拨款结余（含专用结余） 0万元。与上年决算相比，</w:t>
      </w:r>
      <w:r>
        <w:rPr>
          <w:rFonts w:hint="eastAsia" w:ascii="仿宋_GB2312" w:hAnsi="仿宋_GB2312" w:eastAsia="仿宋_GB2312" w:cs="仿宋_GB2312"/>
          <w:kern w:val="0"/>
          <w:sz w:val="32"/>
          <w:szCs w:val="32"/>
          <w:u w:val="none" w:color="auto"/>
          <w:lang w:eastAsia="zh-CN"/>
        </w:rPr>
        <w:t>没有变化</w:t>
      </w:r>
      <w:r>
        <w:rPr>
          <w:rFonts w:hint="eastAsia" w:ascii="仿宋_GB2312" w:hAnsi="仿宋_GB2312" w:eastAsia="仿宋_GB2312" w:cs="仿宋_GB2312"/>
          <w:color w:val="000000"/>
          <w:kern w:val="0"/>
          <w:sz w:val="32"/>
          <w:szCs w:val="32"/>
          <w:u w:val="none" w:color="auto"/>
        </w:rPr>
        <w:t>。</w:t>
      </w:r>
    </w:p>
    <w:p w14:paraId="62AC35F1">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00000"/>
          <w:kern w:val="0"/>
          <w:sz w:val="32"/>
          <w:szCs w:val="32"/>
          <w:u w:val="none" w:color="auto"/>
        </w:rPr>
        <w:t>    3.年初结转和结余 0万元。与上年决算相比，减1.53万元，下降100.00%，变动原因</w:t>
      </w:r>
      <w:r>
        <w:rPr>
          <w:rFonts w:hint="eastAsia" w:ascii="仿宋_GB2312" w:hAnsi="仿宋_GB2312" w:eastAsia="仿宋_GB2312" w:cs="仿宋_GB2312"/>
          <w:color w:val="000000"/>
          <w:kern w:val="0"/>
          <w:sz w:val="32"/>
          <w:szCs w:val="32"/>
          <w:u w:val="none" w:color="auto"/>
          <w:lang w:eastAsia="zh-CN"/>
        </w:rPr>
        <w:t>：</w:t>
      </w:r>
      <w:r>
        <w:rPr>
          <w:rFonts w:hint="eastAsia" w:ascii="仿宋_GB2312" w:hAnsi="仿宋_GB2312" w:eastAsia="仿宋_GB2312" w:cs="仿宋_GB2312"/>
          <w:kern w:val="0"/>
          <w:sz w:val="32"/>
          <w:szCs w:val="32"/>
          <w:u w:val="none" w:color="auto"/>
          <w:lang w:val="en-US" w:eastAsia="zh-CN"/>
        </w:rPr>
        <w:t>2023年有上年没有缴纳的住房公积金的</w:t>
      </w:r>
      <w:r>
        <w:rPr>
          <w:rFonts w:hint="eastAsia" w:ascii="仿宋_GB2312" w:hAnsi="仿宋_GB2312" w:eastAsia="仿宋_GB2312" w:cs="仿宋_GB2312"/>
          <w:color w:val="000000"/>
          <w:kern w:val="0"/>
          <w:sz w:val="32"/>
          <w:szCs w:val="32"/>
          <w:u w:val="none" w:color="auto"/>
        </w:rPr>
        <w:t>年初结转和结余</w:t>
      </w:r>
      <w:r>
        <w:rPr>
          <w:rFonts w:hint="eastAsia" w:ascii="仿宋_GB2312" w:hAnsi="仿宋_GB2312" w:eastAsia="仿宋_GB2312" w:cs="仿宋_GB2312"/>
          <w:kern w:val="0"/>
          <w:sz w:val="32"/>
          <w:szCs w:val="32"/>
          <w:u w:val="none" w:color="auto"/>
          <w:lang w:val="en-US" w:eastAsia="zh-CN"/>
        </w:rPr>
        <w:t>，2024年没有上年</w:t>
      </w:r>
      <w:r>
        <w:rPr>
          <w:rFonts w:hint="eastAsia" w:ascii="仿宋_GB2312" w:hAnsi="仿宋_GB2312" w:eastAsia="仿宋_GB2312" w:cs="仿宋_GB2312"/>
          <w:color w:val="000000"/>
          <w:kern w:val="0"/>
          <w:sz w:val="32"/>
          <w:szCs w:val="32"/>
          <w:u w:val="none" w:color="auto"/>
        </w:rPr>
        <w:t>结转和结余。</w:t>
      </w:r>
    </w:p>
    <w:p w14:paraId="699F0E4C">
      <w:pPr>
        <w:widowControl/>
        <w:spacing w:before="240" w:after="240"/>
        <w:jc w:val="left"/>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bCs/>
          <w:color w:val="000000"/>
          <w:kern w:val="0"/>
          <w:sz w:val="32"/>
          <w:szCs w:val="32"/>
          <w:u w:val="none" w:color="auto"/>
        </w:rPr>
        <w:t>    （二）支出决算总计 795.90万元。包括：</w:t>
      </w:r>
    </w:p>
    <w:p w14:paraId="4C5AD1C1">
      <w:pPr>
        <w:widowControl/>
        <w:spacing w:before="240" w:after="240"/>
        <w:rPr>
          <w:rFonts w:hint="eastAsia" w:ascii="仿宋_GB2312" w:hAnsi="仿宋_GB2312" w:eastAsia="仿宋_GB2312" w:cs="仿宋_GB2312"/>
          <w:kern w:val="0"/>
          <w:sz w:val="32"/>
          <w:szCs w:val="32"/>
          <w:u w:val="none" w:color="auto"/>
          <w:lang w:val="en-US" w:eastAsia="zh-CN"/>
        </w:rPr>
      </w:pPr>
      <w:r>
        <w:rPr>
          <w:rFonts w:hint="eastAsia" w:ascii="仿宋_GB2312" w:hAnsi="仿宋_GB2312" w:eastAsia="仿宋_GB2312" w:cs="仿宋_GB2312"/>
          <w:color w:val="000000"/>
          <w:kern w:val="0"/>
          <w:sz w:val="32"/>
          <w:szCs w:val="32"/>
          <w:u w:val="none" w:color="auto"/>
        </w:rPr>
        <w:t>    1.本年支出决算合计 795.90万元。与上年决算相比，增加 17.66万元，增长 2.27%，变动原因：</w:t>
      </w:r>
      <w:r>
        <w:rPr>
          <w:rFonts w:hint="eastAsia" w:ascii="仿宋_GB2312" w:hAnsi="仿宋_GB2312" w:eastAsia="仿宋_GB2312" w:cs="仿宋_GB2312"/>
          <w:color w:val="000000"/>
          <w:kern w:val="0"/>
          <w:sz w:val="32"/>
          <w:szCs w:val="32"/>
          <w:u w:val="none" w:color="auto"/>
          <w:lang w:eastAsia="zh-CN"/>
        </w:rPr>
        <w:t>一是较上年增加居委会人员生活补助支出；二是增加工资普调及补发工资支出；三是增加社区党组织服务群众专项资金支出。</w:t>
      </w:r>
    </w:p>
    <w:p w14:paraId="0AB6C5AB">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00000"/>
          <w:kern w:val="0"/>
          <w:sz w:val="32"/>
          <w:szCs w:val="32"/>
          <w:u w:val="none" w:color="auto"/>
        </w:rPr>
        <w:t>    2.结余分配 0万元。与上年决算相比，</w:t>
      </w:r>
      <w:r>
        <w:rPr>
          <w:rFonts w:hint="eastAsia" w:ascii="仿宋_GB2312" w:hAnsi="仿宋_GB2312" w:eastAsia="仿宋_GB2312" w:cs="仿宋_GB2312"/>
          <w:color w:val="000000"/>
          <w:kern w:val="0"/>
          <w:sz w:val="32"/>
          <w:szCs w:val="32"/>
          <w:u w:val="none" w:color="auto"/>
          <w:lang w:eastAsia="zh-CN"/>
        </w:rPr>
        <w:t>没有变化。</w:t>
      </w:r>
    </w:p>
    <w:p w14:paraId="519803BF">
      <w:pPr>
        <w:widowControl/>
        <w:spacing w:before="240" w:after="240"/>
        <w:ind w:firstLine="42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00000"/>
          <w:kern w:val="0"/>
          <w:sz w:val="32"/>
          <w:szCs w:val="32"/>
          <w:u w:val="none" w:color="auto"/>
        </w:rPr>
        <w:t>3.年末结转和结余 0万元。与上年决算相比，</w:t>
      </w:r>
      <w:r>
        <w:rPr>
          <w:rFonts w:hint="eastAsia" w:ascii="仿宋_GB2312" w:hAnsi="仿宋_GB2312" w:eastAsia="仿宋_GB2312" w:cs="仿宋_GB2312"/>
          <w:color w:val="000000"/>
          <w:kern w:val="0"/>
          <w:sz w:val="32"/>
          <w:szCs w:val="32"/>
          <w:u w:val="none" w:color="auto"/>
          <w:lang w:eastAsia="zh-CN"/>
        </w:rPr>
        <w:t>没有变化。</w:t>
      </w:r>
    </w:p>
    <w:p w14:paraId="3B20BC3E">
      <w:pPr>
        <w:widowControl/>
        <w:spacing w:before="240" w:after="240"/>
        <w:jc w:val="left"/>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bCs/>
          <w:kern w:val="0"/>
          <w:sz w:val="32"/>
          <w:szCs w:val="32"/>
          <w:u w:val="none" w:color="auto"/>
        </w:rPr>
        <w:t>    二、收入决算情况说明</w:t>
      </w:r>
    </w:p>
    <w:p w14:paraId="17A1CEC2">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E00FE"/>
          <w:kern w:val="0"/>
          <w:sz w:val="32"/>
          <w:szCs w:val="32"/>
          <w:u w:val="none" w:color="auto"/>
        </w:rPr>
        <w:t xml:space="preserve">    </w:t>
      </w:r>
      <w:r>
        <w:rPr>
          <w:rFonts w:hint="eastAsia" w:ascii="仿宋_GB2312" w:hAnsi="仿宋_GB2312" w:eastAsia="仿宋_GB2312" w:cs="仿宋_GB2312"/>
          <w:kern w:val="0"/>
          <w:sz w:val="32"/>
          <w:szCs w:val="32"/>
          <w:u w:val="none" w:color="auto"/>
        </w:rPr>
        <w:t xml:space="preserve">    </w:t>
      </w:r>
      <w:r>
        <w:rPr>
          <w:rFonts w:hint="eastAsia" w:ascii="仿宋_GB2312" w:hAnsi="仿宋_GB2312" w:eastAsia="仿宋_GB2312" w:cs="仿宋_GB2312"/>
          <w:color w:val="000000"/>
          <w:kern w:val="0"/>
          <w:sz w:val="32"/>
          <w:szCs w:val="32"/>
          <w:u w:val="none" w:color="auto"/>
        </w:rPr>
        <w:t>内蒙古自治区呼伦贝尔市扎兰屯市河西街道办事处 2024年度本年收入决算合计 795.90万元，其中：</w:t>
      </w:r>
    </w:p>
    <w:p w14:paraId="6C015B91">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00000"/>
          <w:kern w:val="0"/>
          <w:sz w:val="32"/>
          <w:szCs w:val="32"/>
          <w:u w:val="none" w:color="auto"/>
        </w:rPr>
        <w:t>    本年一般公共预算财政拨款收入 795.90万元，占 100.00%；</w:t>
      </w:r>
    </w:p>
    <w:p w14:paraId="00631091">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00000"/>
          <w:kern w:val="0"/>
          <w:sz w:val="32"/>
          <w:szCs w:val="32"/>
          <w:u w:val="none" w:color="auto"/>
        </w:rPr>
        <w:t>    本年政府性基金预算财政拨款收入 0万元，占 0%；</w:t>
      </w:r>
    </w:p>
    <w:p w14:paraId="160DBDDD">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00000"/>
          <w:kern w:val="0"/>
          <w:sz w:val="32"/>
          <w:szCs w:val="32"/>
          <w:u w:val="none" w:color="auto"/>
        </w:rPr>
        <w:t>    本年国有资本经营预算财政拨款收入 0万元，占 0%；</w:t>
      </w:r>
    </w:p>
    <w:p w14:paraId="3EFB4B74">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00000"/>
          <w:kern w:val="0"/>
          <w:sz w:val="32"/>
          <w:szCs w:val="32"/>
          <w:u w:val="none" w:color="auto"/>
        </w:rPr>
        <w:t>    本年上级补助收入 0万元，占 0%；</w:t>
      </w:r>
    </w:p>
    <w:p w14:paraId="377F11D6">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00000"/>
          <w:kern w:val="0"/>
          <w:sz w:val="32"/>
          <w:szCs w:val="32"/>
          <w:u w:val="none" w:color="auto"/>
        </w:rPr>
        <w:t>    本年事业收入 0万元，占 0%；</w:t>
      </w:r>
    </w:p>
    <w:p w14:paraId="18725BD2">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00000"/>
          <w:kern w:val="0"/>
          <w:sz w:val="32"/>
          <w:szCs w:val="32"/>
          <w:u w:val="none" w:color="auto"/>
        </w:rPr>
        <w:t>    本年经营收入 0万元，占 0%；</w:t>
      </w:r>
    </w:p>
    <w:p w14:paraId="72F04D79">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00000"/>
          <w:kern w:val="0"/>
          <w:sz w:val="32"/>
          <w:szCs w:val="32"/>
          <w:u w:val="none" w:color="auto"/>
        </w:rPr>
        <w:t>    本年附属单位上缴收入 0万元，占 0%；</w:t>
      </w:r>
    </w:p>
    <w:p w14:paraId="583D23C3">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00000"/>
          <w:kern w:val="0"/>
          <w:sz w:val="32"/>
          <w:szCs w:val="32"/>
          <w:u w:val="none" w:color="auto"/>
        </w:rPr>
        <w:t>    本年其他收入 0万元，占 0%。</w:t>
      </w:r>
    </w:p>
    <w:p w14:paraId="0CDB42BA">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E00FE"/>
          <w:kern w:val="0"/>
          <w:sz w:val="32"/>
          <w:szCs w:val="32"/>
          <w:u w:val="none" w:color="auto"/>
        </w:rPr>
        <w:t>   </w:t>
      </w:r>
    </w:p>
    <w:p w14:paraId="5DE1CC7F">
      <w:pPr>
        <w:widowControl/>
        <w:spacing w:before="240" w:after="240"/>
        <w:jc w:val="center"/>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strike w:val="0"/>
          <w:kern w:val="0"/>
          <w:sz w:val="32"/>
          <w:szCs w:val="32"/>
          <w:u w:val="none" w:color="auto"/>
        </w:rPr>
        <w:drawing>
          <wp:inline distT="0" distB="0" distL="114300" distR="114300">
            <wp:extent cx="6219190" cy="3886835"/>
            <wp:effectExtent l="0" t="0" r="10160" b="184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6219190" cy="3886835"/>
                    </a:xfrm>
                    <a:prstGeom prst="rect">
                      <a:avLst/>
                    </a:prstGeom>
                    <a:noFill/>
                    <a:ln>
                      <a:noFill/>
                    </a:ln>
                  </pic:spPr>
                </pic:pic>
              </a:graphicData>
            </a:graphic>
          </wp:inline>
        </w:drawing>
      </w:r>
      <w:r>
        <w:rPr>
          <w:rFonts w:hint="eastAsia" w:ascii="仿宋_GB2312" w:hAnsi="仿宋_GB2312" w:eastAsia="仿宋_GB2312" w:cs="仿宋_GB2312"/>
          <w:kern w:val="0"/>
          <w:sz w:val="32"/>
          <w:szCs w:val="32"/>
          <w:u w:val="none" w:color="auto"/>
        </w:rPr>
        <w:t xml:space="preserve">  </w:t>
      </w:r>
    </w:p>
    <w:p w14:paraId="7D7F7050">
      <w:pPr>
        <w:widowControl/>
        <w:spacing w:before="240" w:after="240"/>
        <w:jc w:val="center"/>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kern w:val="0"/>
          <w:sz w:val="32"/>
          <w:szCs w:val="32"/>
          <w:u w:val="none" w:color="auto"/>
        </w:rPr>
        <w:t>图1.收入决算图</w:t>
      </w:r>
    </w:p>
    <w:p w14:paraId="49E618FF">
      <w:pPr>
        <w:widowControl/>
        <w:spacing w:before="240" w:after="240"/>
        <w:jc w:val="left"/>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bCs/>
          <w:kern w:val="0"/>
          <w:sz w:val="32"/>
          <w:szCs w:val="32"/>
          <w:u w:val="none" w:color="auto"/>
        </w:rPr>
        <w:t>    三、支出决算情况说明</w:t>
      </w:r>
    </w:p>
    <w:p w14:paraId="0B670A1A">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E00FE"/>
          <w:kern w:val="0"/>
          <w:sz w:val="32"/>
          <w:szCs w:val="32"/>
          <w:u w:val="none" w:color="auto"/>
        </w:rPr>
        <w:t xml:space="preserve">    </w:t>
      </w:r>
      <w:r>
        <w:rPr>
          <w:rFonts w:hint="eastAsia" w:ascii="仿宋_GB2312" w:hAnsi="仿宋_GB2312" w:eastAsia="仿宋_GB2312" w:cs="仿宋_GB2312"/>
          <w:kern w:val="0"/>
          <w:sz w:val="32"/>
          <w:szCs w:val="32"/>
          <w:u w:val="none" w:color="auto"/>
        </w:rPr>
        <w:t xml:space="preserve">    </w:t>
      </w:r>
      <w:r>
        <w:rPr>
          <w:rFonts w:hint="eastAsia" w:ascii="仿宋_GB2312" w:hAnsi="仿宋_GB2312" w:eastAsia="仿宋_GB2312" w:cs="仿宋_GB2312"/>
          <w:color w:val="000000"/>
          <w:kern w:val="0"/>
          <w:sz w:val="32"/>
          <w:szCs w:val="32"/>
          <w:u w:val="none" w:color="auto"/>
        </w:rPr>
        <w:t>内蒙古自治区呼伦贝尔市扎兰屯市河西街道办事处 2024年度本年支出决算合计 795.90万元，其中：</w:t>
      </w:r>
    </w:p>
    <w:p w14:paraId="52A99801">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00000"/>
          <w:kern w:val="0"/>
          <w:sz w:val="32"/>
          <w:szCs w:val="32"/>
          <w:u w:val="none" w:color="auto"/>
        </w:rPr>
        <w:t>    本年基本支出 699.96万元，占 87.95%；</w:t>
      </w:r>
    </w:p>
    <w:p w14:paraId="68ACB0D9">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00000"/>
          <w:kern w:val="0"/>
          <w:sz w:val="32"/>
          <w:szCs w:val="32"/>
          <w:u w:val="none" w:color="auto"/>
        </w:rPr>
        <w:t>    本年项目支出 95.94万元，占 12.05%；</w:t>
      </w:r>
    </w:p>
    <w:p w14:paraId="3260BA4A">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00000"/>
          <w:kern w:val="0"/>
          <w:sz w:val="32"/>
          <w:szCs w:val="32"/>
          <w:u w:val="none" w:color="auto"/>
        </w:rPr>
        <w:t>    本年上缴上级支出 0万元，占 0%；</w:t>
      </w:r>
    </w:p>
    <w:p w14:paraId="08968CC4">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00000"/>
          <w:kern w:val="0"/>
          <w:sz w:val="32"/>
          <w:szCs w:val="32"/>
          <w:u w:val="none" w:color="auto"/>
        </w:rPr>
        <w:t>    本年经营支出 0万元，占 0%；</w:t>
      </w:r>
    </w:p>
    <w:p w14:paraId="3D4BCA5C">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00000"/>
          <w:kern w:val="0"/>
          <w:sz w:val="32"/>
          <w:szCs w:val="32"/>
          <w:u w:val="none" w:color="auto"/>
        </w:rPr>
        <w:t>    本年对附属单位补助支出 0万元，占 0%。</w:t>
      </w:r>
    </w:p>
    <w:p w14:paraId="03E3FC02">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E00FE"/>
          <w:kern w:val="0"/>
          <w:sz w:val="32"/>
          <w:szCs w:val="32"/>
          <w:u w:val="none" w:color="auto"/>
        </w:rPr>
        <w:t>   </w:t>
      </w:r>
    </w:p>
    <w:p w14:paraId="5DB5B67A">
      <w:pPr>
        <w:widowControl/>
        <w:spacing w:before="240" w:after="240"/>
        <w:jc w:val="center"/>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strike w:val="0"/>
          <w:kern w:val="0"/>
          <w:sz w:val="32"/>
          <w:szCs w:val="32"/>
          <w:u w:val="none" w:color="auto"/>
        </w:rPr>
        <w:drawing>
          <wp:inline distT="0" distB="0" distL="114300" distR="114300">
            <wp:extent cx="6111240" cy="3820160"/>
            <wp:effectExtent l="0" t="0" r="3810"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6111240" cy="3820160"/>
                    </a:xfrm>
                    <a:prstGeom prst="rect">
                      <a:avLst/>
                    </a:prstGeom>
                    <a:noFill/>
                    <a:ln>
                      <a:noFill/>
                    </a:ln>
                  </pic:spPr>
                </pic:pic>
              </a:graphicData>
            </a:graphic>
          </wp:inline>
        </w:drawing>
      </w:r>
      <w:r>
        <w:rPr>
          <w:rFonts w:hint="eastAsia" w:ascii="仿宋_GB2312" w:hAnsi="仿宋_GB2312" w:eastAsia="仿宋_GB2312" w:cs="仿宋_GB2312"/>
          <w:kern w:val="0"/>
          <w:sz w:val="32"/>
          <w:szCs w:val="32"/>
          <w:u w:val="none" w:color="auto"/>
        </w:rPr>
        <w:t xml:space="preserve">  </w:t>
      </w:r>
    </w:p>
    <w:p w14:paraId="24FA0343">
      <w:pPr>
        <w:widowControl/>
        <w:spacing w:before="240" w:after="240"/>
        <w:jc w:val="center"/>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kern w:val="0"/>
          <w:sz w:val="32"/>
          <w:szCs w:val="32"/>
          <w:u w:val="none" w:color="auto"/>
        </w:rPr>
        <w:t>图2.支出决算图</w:t>
      </w:r>
    </w:p>
    <w:p w14:paraId="478FE05A">
      <w:pPr>
        <w:widowControl/>
        <w:spacing w:before="240" w:after="240"/>
        <w:jc w:val="left"/>
        <w:rPr>
          <w:rFonts w:hint="eastAsia" w:ascii="仿宋_GB2312" w:hAnsi="仿宋_GB2312" w:eastAsia="仿宋_GB2312" w:cs="仿宋_GB2312"/>
          <w:kern w:val="0"/>
          <w:sz w:val="32"/>
          <w:szCs w:val="32"/>
          <w:u w:val="none" w:color="auto"/>
        </w:rPr>
      </w:pPr>
    </w:p>
    <w:p w14:paraId="2AA0DA89">
      <w:pPr>
        <w:widowControl/>
        <w:spacing w:before="240" w:after="240"/>
        <w:jc w:val="left"/>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bCs/>
          <w:kern w:val="0"/>
          <w:sz w:val="32"/>
          <w:szCs w:val="32"/>
          <w:u w:val="none" w:color="auto"/>
        </w:rPr>
        <w:t>    四、财政拨款收入支出决算总体情况说明</w:t>
      </w:r>
    </w:p>
    <w:p w14:paraId="6CBCD1E6">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kern w:val="0"/>
          <w:sz w:val="32"/>
          <w:szCs w:val="32"/>
          <w:u w:val="none" w:color="auto"/>
        </w:rPr>
        <w:t>   </w:t>
      </w:r>
      <w:r>
        <w:rPr>
          <w:rFonts w:hint="eastAsia" w:ascii="仿宋_GB2312" w:hAnsi="仿宋_GB2312" w:eastAsia="仿宋_GB2312" w:cs="仿宋_GB2312"/>
          <w:color w:val="000000"/>
          <w:kern w:val="0"/>
          <w:sz w:val="32"/>
          <w:szCs w:val="32"/>
          <w:u w:val="none" w:color="auto"/>
        </w:rPr>
        <w:t xml:space="preserve"> 内蒙古自治区呼伦贝尔市扎兰屯市河西街道办事处 2024年度财政拨款收入、支出决算总计均为 795.90万元，与年初预算相比，收、支总计各增加5.57万元，增长 0.70%，变动原因：</w:t>
      </w:r>
      <w:r>
        <w:rPr>
          <w:rFonts w:hint="eastAsia" w:ascii="仿宋_GB2312" w:hAnsi="仿宋_GB2312" w:eastAsia="仿宋_GB2312" w:cs="仿宋_GB2312"/>
          <w:color w:val="000000"/>
          <w:kern w:val="0"/>
          <w:sz w:val="32"/>
          <w:szCs w:val="32"/>
          <w:u w:val="none" w:color="auto"/>
          <w:lang w:eastAsia="zh-CN"/>
        </w:rPr>
        <w:t>一是较预算增加</w:t>
      </w:r>
      <w:r>
        <w:rPr>
          <w:rFonts w:hint="eastAsia" w:ascii="仿宋_GB2312" w:hAnsi="仿宋_GB2312" w:eastAsia="仿宋_GB2312" w:cs="仿宋_GB2312"/>
          <w:color w:val="000000"/>
          <w:kern w:val="0"/>
          <w:sz w:val="32"/>
          <w:szCs w:val="32"/>
          <w:u w:val="none" w:color="auto"/>
          <w:lang w:val="en-US" w:eastAsia="zh-CN"/>
        </w:rPr>
        <w:t>2名退休人员职业年金收入、支出；二是增加社区党组织服务群众项目与社区党组织工作项目的收入、支出</w:t>
      </w:r>
      <w:r>
        <w:rPr>
          <w:rFonts w:hint="eastAsia" w:ascii="仿宋_GB2312" w:hAnsi="仿宋_GB2312" w:eastAsia="仿宋_GB2312" w:cs="仿宋_GB2312"/>
          <w:color w:val="000000"/>
          <w:kern w:val="0"/>
          <w:sz w:val="32"/>
          <w:szCs w:val="32"/>
          <w:u w:val="none" w:color="auto"/>
        </w:rPr>
        <w:t>；与上年决算相比，收、支总计各增加 17.66万元，增长 2.27%，变动原因：</w:t>
      </w:r>
      <w:r>
        <w:rPr>
          <w:rFonts w:hint="eastAsia" w:ascii="仿宋_GB2312" w:hAnsi="仿宋_GB2312" w:eastAsia="仿宋_GB2312" w:cs="仿宋_GB2312"/>
          <w:color w:val="000000"/>
          <w:kern w:val="0"/>
          <w:sz w:val="32"/>
          <w:szCs w:val="32"/>
          <w:u w:val="none" w:color="auto"/>
          <w:lang w:eastAsia="zh-CN"/>
        </w:rPr>
        <w:t>一是较上年增加居委会人员生活补助收入、支出；二是增加工资普调及补发工资收入、支出；三是增加社区党组织服务群众专项资金收入、支出。</w:t>
      </w:r>
    </w:p>
    <w:p w14:paraId="43822660">
      <w:pPr>
        <w:widowControl/>
        <w:spacing w:before="240" w:after="240"/>
        <w:jc w:val="left"/>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bCs/>
          <w:kern w:val="0"/>
          <w:sz w:val="32"/>
          <w:szCs w:val="32"/>
          <w:u w:val="none" w:color="auto"/>
        </w:rPr>
        <w:t>    五、一般公共预算财政拨款支出决算情况说明</w:t>
      </w:r>
    </w:p>
    <w:p w14:paraId="6715C841">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kern w:val="0"/>
          <w:sz w:val="32"/>
          <w:szCs w:val="32"/>
          <w:u w:val="none" w:color="auto"/>
        </w:rPr>
        <w:t xml:space="preserve">    </w:t>
      </w:r>
      <w:r>
        <w:rPr>
          <w:rFonts w:hint="eastAsia" w:ascii="仿宋_GB2312" w:hAnsi="仿宋_GB2312" w:eastAsia="仿宋_GB2312" w:cs="仿宋_GB2312"/>
          <w:color w:val="000000"/>
          <w:kern w:val="0"/>
          <w:sz w:val="32"/>
          <w:szCs w:val="32"/>
          <w:u w:val="none" w:color="auto"/>
        </w:rPr>
        <w:t>内蒙古自治区呼伦贝尔市扎兰屯市河西街道办事处 2024年度一般公共预算财政拨款支出决算 795.90万元。与年初预算 790.34万元相比，完成年初预算的 100.70%。其中：</w:t>
      </w:r>
    </w:p>
    <w:p w14:paraId="30E292EC">
      <w:pPr>
        <w:widowControl/>
        <w:spacing w:before="240" w:after="240"/>
        <w:jc w:val="left"/>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bCs/>
          <w:color w:val="000000"/>
          <w:kern w:val="0"/>
          <w:sz w:val="32"/>
          <w:szCs w:val="32"/>
          <w:u w:val="none" w:color="auto"/>
        </w:rPr>
        <w:t>    （一）一般公共服务（类）</w:t>
      </w:r>
    </w:p>
    <w:p w14:paraId="3E143A5C">
      <w:pPr>
        <w:widowControl/>
        <w:spacing w:before="240" w:after="240"/>
        <w:ind w:firstLine="420"/>
        <w:rPr>
          <w:rFonts w:hint="eastAsia" w:ascii="仿宋_GB2312" w:hAnsi="仿宋_GB2312" w:eastAsia="仿宋_GB2312" w:cs="仿宋_GB2312"/>
          <w:color w:val="000000"/>
          <w:kern w:val="0"/>
          <w:sz w:val="32"/>
          <w:szCs w:val="32"/>
          <w:u w:val="none" w:color="auto"/>
        </w:rPr>
      </w:pPr>
      <w:r>
        <w:rPr>
          <w:rFonts w:hint="eastAsia" w:ascii="仿宋_GB2312" w:hAnsi="仿宋_GB2312" w:eastAsia="仿宋_GB2312" w:cs="仿宋_GB2312"/>
          <w:color w:val="000000"/>
          <w:kern w:val="0"/>
          <w:sz w:val="32"/>
          <w:szCs w:val="32"/>
          <w:u w:val="none" w:color="auto"/>
        </w:rPr>
        <w:t>一般公共服务（类）决算数为 565.78万元，与年初预算相比减少9.27万元。其中：</w:t>
      </w:r>
    </w:p>
    <w:p w14:paraId="033AE0C9">
      <w:pPr>
        <w:keepNext w:val="0"/>
        <w:keepLines w:val="0"/>
        <w:pageBreakBefore w:val="0"/>
        <w:widowControl/>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kern w:val="0"/>
          <w:sz w:val="32"/>
          <w:szCs w:val="32"/>
          <w:u w:val="none" w:color="auto"/>
          <w:lang w:eastAsia="zh-CN"/>
        </w:rPr>
        <w:t>政府办公厅及相关机构事务</w:t>
      </w:r>
      <w:r>
        <w:rPr>
          <w:rFonts w:hint="eastAsia" w:ascii="仿宋_GB2312" w:hAnsi="仿宋_GB2312" w:eastAsia="仿宋_GB2312" w:cs="仿宋_GB2312"/>
          <w:kern w:val="0"/>
          <w:sz w:val="32"/>
          <w:szCs w:val="32"/>
          <w:u w:val="none" w:color="auto"/>
        </w:rPr>
        <w:t>（款）行政运行（项）。年初预算</w:t>
      </w:r>
      <w:r>
        <w:rPr>
          <w:rFonts w:hint="eastAsia" w:ascii="仿宋_GB2312" w:hAnsi="仿宋_GB2312" w:eastAsia="仿宋_GB2312" w:cs="仿宋_GB2312"/>
          <w:kern w:val="0"/>
          <w:sz w:val="32"/>
          <w:szCs w:val="32"/>
          <w:u w:val="none" w:color="auto"/>
          <w:lang w:val="en-US" w:eastAsia="zh-CN"/>
        </w:rPr>
        <w:t>403.31</w:t>
      </w:r>
      <w:r>
        <w:rPr>
          <w:rFonts w:hint="eastAsia" w:ascii="仿宋_GB2312" w:hAnsi="仿宋_GB2312" w:eastAsia="仿宋_GB2312" w:cs="仿宋_GB2312"/>
          <w:kern w:val="0"/>
          <w:sz w:val="32"/>
          <w:szCs w:val="32"/>
          <w:u w:val="none" w:color="auto"/>
        </w:rPr>
        <w:t>万元，支出决算</w:t>
      </w:r>
      <w:r>
        <w:rPr>
          <w:rFonts w:hint="eastAsia" w:ascii="仿宋_GB2312" w:hAnsi="仿宋_GB2312" w:eastAsia="仿宋_GB2312" w:cs="仿宋_GB2312"/>
          <w:kern w:val="0"/>
          <w:sz w:val="32"/>
          <w:szCs w:val="32"/>
          <w:u w:val="none" w:color="auto"/>
          <w:lang w:val="en-US" w:eastAsia="zh-CN"/>
        </w:rPr>
        <w:t>402.27</w:t>
      </w:r>
      <w:r>
        <w:rPr>
          <w:rFonts w:hint="eastAsia" w:ascii="仿宋_GB2312" w:hAnsi="仿宋_GB2312" w:eastAsia="仿宋_GB2312" w:cs="仿宋_GB2312"/>
          <w:kern w:val="0"/>
          <w:sz w:val="32"/>
          <w:szCs w:val="32"/>
          <w:u w:val="none" w:color="auto"/>
        </w:rPr>
        <w:t>万元，完成年初预算的</w:t>
      </w:r>
      <w:r>
        <w:rPr>
          <w:rFonts w:hint="eastAsia" w:ascii="仿宋_GB2312" w:hAnsi="仿宋_GB2312" w:eastAsia="仿宋_GB2312" w:cs="仿宋_GB2312"/>
          <w:kern w:val="0"/>
          <w:sz w:val="32"/>
          <w:szCs w:val="32"/>
          <w:u w:val="none" w:color="auto"/>
          <w:lang w:val="en-US" w:eastAsia="zh-CN"/>
        </w:rPr>
        <w:t>99.74</w:t>
      </w:r>
      <w:r>
        <w:rPr>
          <w:rFonts w:hint="eastAsia" w:ascii="仿宋_GB2312" w:hAnsi="仿宋_GB2312" w:eastAsia="仿宋_GB2312" w:cs="仿宋_GB2312"/>
          <w:kern w:val="0"/>
          <w:sz w:val="32"/>
          <w:szCs w:val="32"/>
          <w:u w:val="none" w:color="auto"/>
        </w:rPr>
        <w:t>%。决算数与年初预算数的差异原因：</w:t>
      </w:r>
      <w:r>
        <w:rPr>
          <w:rFonts w:hint="eastAsia" w:ascii="仿宋_GB2312" w:hAnsi="仿宋_GB2312" w:eastAsia="仿宋_GB2312" w:cs="仿宋_GB2312"/>
          <w:kern w:val="0"/>
          <w:sz w:val="32"/>
          <w:szCs w:val="32"/>
          <w:u w:val="none" w:color="auto"/>
          <w:lang w:eastAsia="zh-CN"/>
        </w:rPr>
        <w:t>支出决算与年初预算基本一致</w:t>
      </w:r>
      <w:r>
        <w:rPr>
          <w:rFonts w:hint="eastAsia" w:ascii="仿宋_GB2312" w:hAnsi="仿宋_GB2312" w:eastAsia="仿宋_GB2312" w:cs="仿宋_GB2312"/>
          <w:kern w:val="0"/>
          <w:sz w:val="32"/>
          <w:szCs w:val="32"/>
          <w:u w:val="none" w:color="auto"/>
        </w:rPr>
        <w:t>。</w:t>
      </w:r>
    </w:p>
    <w:p w14:paraId="046D3796">
      <w:pPr>
        <w:keepNext w:val="0"/>
        <w:keepLines w:val="0"/>
        <w:pageBreakBefore w:val="0"/>
        <w:widowControl/>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kern w:val="0"/>
          <w:sz w:val="32"/>
          <w:szCs w:val="32"/>
          <w:u w:val="none" w:color="auto"/>
          <w:lang w:eastAsia="zh-CN"/>
        </w:rPr>
        <w:t>政府办公厅及相关机构事务</w:t>
      </w:r>
      <w:r>
        <w:rPr>
          <w:rFonts w:hint="eastAsia" w:ascii="仿宋_GB2312" w:hAnsi="仿宋_GB2312" w:eastAsia="仿宋_GB2312" w:cs="仿宋_GB2312"/>
          <w:kern w:val="0"/>
          <w:sz w:val="32"/>
          <w:szCs w:val="32"/>
          <w:u w:val="none" w:color="auto"/>
        </w:rPr>
        <w:t>（款）</w:t>
      </w:r>
      <w:r>
        <w:rPr>
          <w:rFonts w:hint="eastAsia" w:ascii="仿宋_GB2312" w:hAnsi="仿宋_GB2312" w:eastAsia="仿宋_GB2312" w:cs="仿宋_GB2312"/>
          <w:kern w:val="0"/>
          <w:sz w:val="32"/>
          <w:szCs w:val="32"/>
          <w:u w:val="none" w:color="auto"/>
          <w:lang w:eastAsia="zh-CN"/>
        </w:rPr>
        <w:t>事业</w:t>
      </w:r>
      <w:r>
        <w:rPr>
          <w:rFonts w:hint="eastAsia" w:ascii="仿宋_GB2312" w:hAnsi="仿宋_GB2312" w:eastAsia="仿宋_GB2312" w:cs="仿宋_GB2312"/>
          <w:kern w:val="0"/>
          <w:sz w:val="32"/>
          <w:szCs w:val="32"/>
          <w:u w:val="none" w:color="auto"/>
        </w:rPr>
        <w:t>运行（项）。年初预算</w:t>
      </w:r>
      <w:r>
        <w:rPr>
          <w:rFonts w:hint="eastAsia" w:ascii="仿宋_GB2312" w:hAnsi="仿宋_GB2312" w:eastAsia="仿宋_GB2312" w:cs="仿宋_GB2312"/>
          <w:kern w:val="0"/>
          <w:sz w:val="32"/>
          <w:szCs w:val="32"/>
          <w:u w:val="none" w:color="auto"/>
          <w:lang w:val="en-US" w:eastAsia="zh-CN"/>
        </w:rPr>
        <w:t>104.12</w:t>
      </w:r>
      <w:r>
        <w:rPr>
          <w:rFonts w:hint="eastAsia" w:ascii="仿宋_GB2312" w:hAnsi="仿宋_GB2312" w:eastAsia="仿宋_GB2312" w:cs="仿宋_GB2312"/>
          <w:kern w:val="0"/>
          <w:sz w:val="32"/>
          <w:szCs w:val="32"/>
          <w:u w:val="none" w:color="auto"/>
        </w:rPr>
        <w:t>万元，支出决算</w:t>
      </w:r>
      <w:r>
        <w:rPr>
          <w:rFonts w:hint="eastAsia" w:ascii="仿宋_GB2312" w:hAnsi="仿宋_GB2312" w:eastAsia="仿宋_GB2312" w:cs="仿宋_GB2312"/>
          <w:kern w:val="0"/>
          <w:sz w:val="32"/>
          <w:szCs w:val="32"/>
          <w:u w:val="none" w:color="auto"/>
          <w:lang w:val="en-US" w:eastAsia="zh-CN"/>
        </w:rPr>
        <w:t>104.07</w:t>
      </w:r>
      <w:r>
        <w:rPr>
          <w:rFonts w:hint="eastAsia" w:ascii="仿宋_GB2312" w:hAnsi="仿宋_GB2312" w:eastAsia="仿宋_GB2312" w:cs="仿宋_GB2312"/>
          <w:kern w:val="0"/>
          <w:sz w:val="32"/>
          <w:szCs w:val="32"/>
          <w:u w:val="none" w:color="auto"/>
        </w:rPr>
        <w:t>万元，完成年初预算的</w:t>
      </w:r>
      <w:r>
        <w:rPr>
          <w:rFonts w:hint="eastAsia" w:ascii="仿宋_GB2312" w:hAnsi="仿宋_GB2312" w:eastAsia="仿宋_GB2312" w:cs="仿宋_GB2312"/>
          <w:kern w:val="0"/>
          <w:sz w:val="32"/>
          <w:szCs w:val="32"/>
          <w:u w:val="none" w:color="auto"/>
          <w:lang w:val="en-US" w:eastAsia="zh-CN"/>
        </w:rPr>
        <w:t>99.95</w:t>
      </w:r>
      <w:r>
        <w:rPr>
          <w:rFonts w:hint="eastAsia" w:ascii="仿宋_GB2312" w:hAnsi="仿宋_GB2312" w:eastAsia="仿宋_GB2312" w:cs="仿宋_GB2312"/>
          <w:kern w:val="0"/>
          <w:sz w:val="32"/>
          <w:szCs w:val="32"/>
          <w:u w:val="none" w:color="auto"/>
        </w:rPr>
        <w:t>%。决算数与年初预算数的差异原因：</w:t>
      </w:r>
      <w:r>
        <w:rPr>
          <w:rFonts w:hint="eastAsia" w:ascii="仿宋_GB2312" w:hAnsi="仿宋_GB2312" w:eastAsia="仿宋_GB2312" w:cs="仿宋_GB2312"/>
          <w:kern w:val="0"/>
          <w:sz w:val="32"/>
          <w:szCs w:val="32"/>
          <w:u w:val="none" w:color="auto"/>
          <w:lang w:eastAsia="zh-CN"/>
        </w:rPr>
        <w:t>支出决算与年初预算基本一致</w:t>
      </w:r>
      <w:r>
        <w:rPr>
          <w:rFonts w:hint="eastAsia" w:ascii="仿宋_GB2312" w:hAnsi="仿宋_GB2312" w:eastAsia="仿宋_GB2312" w:cs="仿宋_GB2312"/>
          <w:kern w:val="0"/>
          <w:sz w:val="32"/>
          <w:szCs w:val="32"/>
          <w:u w:val="none" w:color="auto"/>
        </w:rPr>
        <w:t>。</w:t>
      </w:r>
    </w:p>
    <w:p w14:paraId="44E01E2A">
      <w:pPr>
        <w:keepNext w:val="0"/>
        <w:keepLines w:val="0"/>
        <w:pageBreakBefore w:val="0"/>
        <w:widowControl/>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kern w:val="0"/>
          <w:sz w:val="32"/>
          <w:szCs w:val="32"/>
          <w:u w:val="none" w:color="auto"/>
          <w:lang w:val="en-US" w:eastAsia="zh-CN"/>
        </w:rPr>
      </w:pPr>
      <w:r>
        <w:rPr>
          <w:rFonts w:hint="eastAsia" w:ascii="仿宋_GB2312" w:hAnsi="仿宋_GB2312" w:eastAsia="仿宋_GB2312" w:cs="仿宋_GB2312"/>
          <w:kern w:val="0"/>
          <w:sz w:val="32"/>
          <w:szCs w:val="32"/>
          <w:u w:val="none" w:color="auto"/>
          <w:lang w:eastAsia="zh-CN"/>
        </w:rPr>
        <w:t>党委办公厅及相关机构事务</w:t>
      </w:r>
      <w:r>
        <w:rPr>
          <w:rFonts w:hint="eastAsia" w:ascii="仿宋_GB2312" w:hAnsi="仿宋_GB2312" w:eastAsia="仿宋_GB2312" w:cs="仿宋_GB2312"/>
          <w:kern w:val="0"/>
          <w:sz w:val="32"/>
          <w:szCs w:val="32"/>
          <w:u w:val="none" w:color="auto"/>
        </w:rPr>
        <w:t>（款）行政运行（项）。年初预算</w:t>
      </w:r>
      <w:r>
        <w:rPr>
          <w:rFonts w:hint="eastAsia" w:ascii="仿宋_GB2312" w:hAnsi="仿宋_GB2312" w:eastAsia="仿宋_GB2312" w:cs="仿宋_GB2312"/>
          <w:kern w:val="0"/>
          <w:sz w:val="32"/>
          <w:szCs w:val="32"/>
          <w:u w:val="none" w:color="auto"/>
          <w:lang w:val="en-US" w:eastAsia="zh-CN"/>
        </w:rPr>
        <w:t>52.62</w:t>
      </w:r>
      <w:r>
        <w:rPr>
          <w:rFonts w:hint="eastAsia" w:ascii="仿宋_GB2312" w:hAnsi="仿宋_GB2312" w:eastAsia="仿宋_GB2312" w:cs="仿宋_GB2312"/>
          <w:kern w:val="0"/>
          <w:sz w:val="32"/>
          <w:szCs w:val="32"/>
          <w:u w:val="none" w:color="auto"/>
        </w:rPr>
        <w:t>万元，支出决算</w:t>
      </w:r>
      <w:r>
        <w:rPr>
          <w:rFonts w:hint="eastAsia" w:ascii="仿宋_GB2312" w:hAnsi="仿宋_GB2312" w:eastAsia="仿宋_GB2312" w:cs="仿宋_GB2312"/>
          <w:kern w:val="0"/>
          <w:sz w:val="32"/>
          <w:szCs w:val="32"/>
          <w:u w:val="none" w:color="auto"/>
          <w:lang w:val="en-US" w:eastAsia="zh-CN"/>
        </w:rPr>
        <w:t>36.33</w:t>
      </w:r>
      <w:r>
        <w:rPr>
          <w:rFonts w:hint="eastAsia" w:ascii="仿宋_GB2312" w:hAnsi="仿宋_GB2312" w:eastAsia="仿宋_GB2312" w:cs="仿宋_GB2312"/>
          <w:kern w:val="0"/>
          <w:sz w:val="32"/>
          <w:szCs w:val="32"/>
          <w:u w:val="none" w:color="auto"/>
        </w:rPr>
        <w:t>万元，完成年初预算的</w:t>
      </w:r>
      <w:r>
        <w:rPr>
          <w:rFonts w:hint="eastAsia" w:ascii="仿宋_GB2312" w:hAnsi="仿宋_GB2312" w:eastAsia="仿宋_GB2312" w:cs="仿宋_GB2312"/>
          <w:kern w:val="0"/>
          <w:sz w:val="32"/>
          <w:szCs w:val="32"/>
          <w:u w:val="none" w:color="auto"/>
          <w:lang w:val="en-US" w:eastAsia="zh-CN"/>
        </w:rPr>
        <w:t>69.04</w:t>
      </w:r>
      <w:r>
        <w:rPr>
          <w:rFonts w:hint="eastAsia" w:ascii="仿宋_GB2312" w:hAnsi="仿宋_GB2312" w:eastAsia="仿宋_GB2312" w:cs="仿宋_GB2312"/>
          <w:kern w:val="0"/>
          <w:sz w:val="32"/>
          <w:szCs w:val="32"/>
          <w:u w:val="none" w:color="auto"/>
        </w:rPr>
        <w:t>%。决算数与年初预算数的差异原因：</w:t>
      </w:r>
      <w:r>
        <w:rPr>
          <w:rFonts w:hint="eastAsia" w:ascii="仿宋_GB2312" w:hAnsi="仿宋_GB2312" w:eastAsia="仿宋_GB2312" w:cs="仿宋_GB2312"/>
          <w:kern w:val="0"/>
          <w:sz w:val="32"/>
          <w:szCs w:val="32"/>
          <w:u w:val="none" w:color="auto"/>
          <w:lang w:val="en-US" w:eastAsia="zh-CN"/>
        </w:rPr>
        <w:t>赵凤梅2024年8月退休。</w:t>
      </w:r>
    </w:p>
    <w:p w14:paraId="7F1F06B1">
      <w:pPr>
        <w:keepNext w:val="0"/>
        <w:keepLines w:val="0"/>
        <w:pageBreakBefore w:val="0"/>
        <w:widowControl/>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kern w:val="0"/>
          <w:sz w:val="32"/>
          <w:szCs w:val="32"/>
          <w:u w:val="none" w:color="auto"/>
          <w:lang w:val="en-US" w:eastAsia="zh-CN"/>
        </w:rPr>
      </w:pPr>
      <w:r>
        <w:rPr>
          <w:rFonts w:hint="eastAsia" w:ascii="仿宋_GB2312" w:hAnsi="仿宋_GB2312" w:eastAsia="仿宋_GB2312" w:cs="仿宋_GB2312"/>
          <w:kern w:val="0"/>
          <w:sz w:val="32"/>
          <w:szCs w:val="32"/>
          <w:u w:val="none" w:color="auto"/>
          <w:lang w:eastAsia="zh-CN"/>
        </w:rPr>
        <w:t>组织事务</w:t>
      </w:r>
      <w:r>
        <w:rPr>
          <w:rFonts w:hint="eastAsia" w:ascii="仿宋_GB2312" w:hAnsi="仿宋_GB2312" w:eastAsia="仿宋_GB2312" w:cs="仿宋_GB2312"/>
          <w:kern w:val="0"/>
          <w:sz w:val="32"/>
          <w:szCs w:val="32"/>
          <w:u w:val="none" w:color="auto"/>
        </w:rPr>
        <w:t>（款）</w:t>
      </w:r>
      <w:r>
        <w:rPr>
          <w:rFonts w:hint="eastAsia" w:ascii="仿宋_GB2312" w:hAnsi="仿宋_GB2312" w:eastAsia="仿宋_GB2312" w:cs="仿宋_GB2312"/>
          <w:kern w:val="0"/>
          <w:sz w:val="32"/>
          <w:szCs w:val="32"/>
          <w:u w:val="none" w:color="auto"/>
          <w:lang w:eastAsia="zh-CN"/>
        </w:rPr>
        <w:t>一般行政管理事务</w:t>
      </w:r>
      <w:r>
        <w:rPr>
          <w:rFonts w:hint="eastAsia" w:ascii="仿宋_GB2312" w:hAnsi="仿宋_GB2312" w:eastAsia="仿宋_GB2312" w:cs="仿宋_GB2312"/>
          <w:kern w:val="0"/>
          <w:sz w:val="32"/>
          <w:szCs w:val="32"/>
          <w:u w:val="none" w:color="auto"/>
        </w:rPr>
        <w:t>（项）。年初预算</w:t>
      </w:r>
      <w:r>
        <w:rPr>
          <w:rFonts w:hint="eastAsia" w:ascii="仿宋_GB2312" w:hAnsi="仿宋_GB2312" w:eastAsia="仿宋_GB2312" w:cs="仿宋_GB2312"/>
          <w:kern w:val="0"/>
          <w:sz w:val="32"/>
          <w:szCs w:val="32"/>
          <w:u w:val="none" w:color="auto"/>
          <w:lang w:val="en-US" w:eastAsia="zh-CN"/>
        </w:rPr>
        <w:t>15</w:t>
      </w:r>
      <w:r>
        <w:rPr>
          <w:rFonts w:hint="eastAsia" w:ascii="仿宋_GB2312" w:hAnsi="仿宋_GB2312" w:eastAsia="仿宋_GB2312" w:cs="仿宋_GB2312"/>
          <w:kern w:val="0"/>
          <w:sz w:val="32"/>
          <w:szCs w:val="32"/>
          <w:u w:val="none" w:color="auto"/>
        </w:rPr>
        <w:t>万元，支出决算</w:t>
      </w:r>
      <w:r>
        <w:rPr>
          <w:rFonts w:hint="eastAsia" w:ascii="仿宋_GB2312" w:hAnsi="仿宋_GB2312" w:eastAsia="仿宋_GB2312" w:cs="仿宋_GB2312"/>
          <w:kern w:val="0"/>
          <w:sz w:val="32"/>
          <w:szCs w:val="32"/>
          <w:u w:val="none" w:color="auto"/>
          <w:lang w:val="en-US" w:eastAsia="zh-CN"/>
        </w:rPr>
        <w:t>15</w:t>
      </w:r>
      <w:r>
        <w:rPr>
          <w:rFonts w:hint="eastAsia" w:ascii="仿宋_GB2312" w:hAnsi="仿宋_GB2312" w:eastAsia="仿宋_GB2312" w:cs="仿宋_GB2312"/>
          <w:kern w:val="0"/>
          <w:sz w:val="32"/>
          <w:szCs w:val="32"/>
          <w:u w:val="none" w:color="auto"/>
        </w:rPr>
        <w:t>万元，完成年初预算的</w:t>
      </w:r>
      <w:r>
        <w:rPr>
          <w:rFonts w:hint="eastAsia" w:ascii="仿宋_GB2312" w:hAnsi="仿宋_GB2312" w:eastAsia="仿宋_GB2312" w:cs="仿宋_GB2312"/>
          <w:kern w:val="0"/>
          <w:sz w:val="32"/>
          <w:szCs w:val="32"/>
          <w:u w:val="none" w:color="auto"/>
          <w:lang w:val="en-US" w:eastAsia="zh-CN"/>
        </w:rPr>
        <w:t>100</w:t>
      </w:r>
      <w:r>
        <w:rPr>
          <w:rFonts w:hint="eastAsia" w:ascii="仿宋_GB2312" w:hAnsi="仿宋_GB2312" w:eastAsia="仿宋_GB2312" w:cs="仿宋_GB2312"/>
          <w:kern w:val="0"/>
          <w:sz w:val="32"/>
          <w:szCs w:val="32"/>
          <w:u w:val="none" w:color="auto"/>
        </w:rPr>
        <w:t>%。决算数与年初预算数</w:t>
      </w:r>
      <w:r>
        <w:rPr>
          <w:rFonts w:hint="eastAsia" w:ascii="仿宋_GB2312" w:hAnsi="仿宋_GB2312" w:eastAsia="仿宋_GB2312" w:cs="仿宋_GB2312"/>
          <w:kern w:val="0"/>
          <w:sz w:val="32"/>
          <w:szCs w:val="32"/>
          <w:u w:val="none" w:color="auto"/>
          <w:lang w:eastAsia="zh-CN"/>
        </w:rPr>
        <w:t>一致。</w:t>
      </w:r>
    </w:p>
    <w:p w14:paraId="11A49BBC">
      <w:pPr>
        <w:keepNext w:val="0"/>
        <w:keepLines w:val="0"/>
        <w:pageBreakBefore w:val="0"/>
        <w:widowControl/>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kern w:val="0"/>
          <w:sz w:val="32"/>
          <w:szCs w:val="32"/>
          <w:u w:val="none" w:color="auto"/>
          <w:lang w:val="en-US" w:eastAsia="zh-CN"/>
        </w:rPr>
      </w:pPr>
    </w:p>
    <w:p w14:paraId="44598EE9">
      <w:pPr>
        <w:keepNext w:val="0"/>
        <w:keepLines w:val="0"/>
        <w:pageBreakBefore w:val="0"/>
        <w:widowControl/>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kern w:val="0"/>
          <w:sz w:val="32"/>
          <w:szCs w:val="32"/>
          <w:u w:val="none" w:color="auto"/>
          <w:lang w:val="en-US" w:eastAsia="zh-CN"/>
        </w:rPr>
      </w:pPr>
      <w:r>
        <w:rPr>
          <w:rFonts w:hint="eastAsia" w:ascii="仿宋_GB2312" w:hAnsi="仿宋_GB2312" w:eastAsia="仿宋_GB2312" w:cs="仿宋_GB2312"/>
          <w:kern w:val="0"/>
          <w:sz w:val="32"/>
          <w:szCs w:val="32"/>
          <w:u w:val="none" w:color="auto"/>
          <w:lang w:eastAsia="zh-CN"/>
        </w:rPr>
        <w:t>信访事务</w:t>
      </w:r>
      <w:r>
        <w:rPr>
          <w:rFonts w:hint="eastAsia" w:ascii="仿宋_GB2312" w:hAnsi="仿宋_GB2312" w:eastAsia="仿宋_GB2312" w:cs="仿宋_GB2312"/>
          <w:kern w:val="0"/>
          <w:sz w:val="32"/>
          <w:szCs w:val="32"/>
          <w:u w:val="none" w:color="auto"/>
        </w:rPr>
        <w:t>（款）</w:t>
      </w:r>
      <w:r>
        <w:rPr>
          <w:rFonts w:hint="eastAsia" w:ascii="仿宋_GB2312" w:hAnsi="仿宋_GB2312" w:eastAsia="仿宋_GB2312" w:cs="仿宋_GB2312"/>
          <w:kern w:val="0"/>
          <w:sz w:val="32"/>
          <w:szCs w:val="32"/>
          <w:u w:val="none" w:color="auto"/>
          <w:lang w:eastAsia="zh-CN"/>
        </w:rPr>
        <w:t>信访事务</w:t>
      </w:r>
      <w:r>
        <w:rPr>
          <w:rFonts w:hint="eastAsia" w:ascii="仿宋_GB2312" w:hAnsi="仿宋_GB2312" w:eastAsia="仿宋_GB2312" w:cs="仿宋_GB2312"/>
          <w:kern w:val="0"/>
          <w:sz w:val="32"/>
          <w:szCs w:val="32"/>
          <w:u w:val="none" w:color="auto"/>
        </w:rPr>
        <w:t>（项）。年初预算</w:t>
      </w:r>
      <w:r>
        <w:rPr>
          <w:rFonts w:hint="eastAsia" w:ascii="仿宋_GB2312" w:hAnsi="仿宋_GB2312" w:eastAsia="仿宋_GB2312" w:cs="仿宋_GB2312"/>
          <w:kern w:val="0"/>
          <w:sz w:val="32"/>
          <w:szCs w:val="32"/>
          <w:u w:val="none" w:color="auto"/>
          <w:lang w:val="en-US" w:eastAsia="zh-CN"/>
        </w:rPr>
        <w:t>0</w:t>
      </w:r>
      <w:r>
        <w:rPr>
          <w:rFonts w:hint="eastAsia" w:ascii="仿宋_GB2312" w:hAnsi="仿宋_GB2312" w:eastAsia="仿宋_GB2312" w:cs="仿宋_GB2312"/>
          <w:kern w:val="0"/>
          <w:sz w:val="32"/>
          <w:szCs w:val="32"/>
          <w:u w:val="none" w:color="auto"/>
        </w:rPr>
        <w:t>万元，支出决算</w:t>
      </w:r>
      <w:r>
        <w:rPr>
          <w:rFonts w:hint="eastAsia" w:ascii="仿宋_GB2312" w:hAnsi="仿宋_GB2312" w:eastAsia="仿宋_GB2312" w:cs="仿宋_GB2312"/>
          <w:kern w:val="0"/>
          <w:sz w:val="32"/>
          <w:szCs w:val="32"/>
          <w:u w:val="none" w:color="auto"/>
          <w:lang w:val="en-US" w:eastAsia="zh-CN"/>
        </w:rPr>
        <w:t>8.1</w:t>
      </w:r>
      <w:r>
        <w:rPr>
          <w:rFonts w:hint="eastAsia" w:ascii="仿宋_GB2312" w:hAnsi="仿宋_GB2312" w:eastAsia="仿宋_GB2312" w:cs="仿宋_GB2312"/>
          <w:kern w:val="0"/>
          <w:sz w:val="32"/>
          <w:szCs w:val="32"/>
          <w:u w:val="none" w:color="auto"/>
        </w:rPr>
        <w:t>万元，完成年初预算的</w:t>
      </w:r>
      <w:r>
        <w:rPr>
          <w:rFonts w:hint="eastAsia" w:ascii="仿宋_GB2312" w:hAnsi="仿宋_GB2312" w:eastAsia="仿宋_GB2312" w:cs="仿宋_GB2312"/>
          <w:kern w:val="0"/>
          <w:sz w:val="32"/>
          <w:szCs w:val="32"/>
          <w:u w:val="none" w:color="auto"/>
          <w:lang w:val="en-US" w:eastAsia="zh-CN"/>
        </w:rPr>
        <w:t>0</w:t>
      </w:r>
      <w:r>
        <w:rPr>
          <w:rFonts w:hint="eastAsia" w:ascii="仿宋_GB2312" w:hAnsi="仿宋_GB2312" w:eastAsia="仿宋_GB2312" w:cs="仿宋_GB2312"/>
          <w:kern w:val="0"/>
          <w:sz w:val="32"/>
          <w:szCs w:val="32"/>
          <w:u w:val="none" w:color="auto"/>
        </w:rPr>
        <w:t>%。决算数与年初预算数</w:t>
      </w:r>
      <w:r>
        <w:rPr>
          <w:rFonts w:hint="eastAsia" w:ascii="仿宋_GB2312" w:hAnsi="仿宋_GB2312" w:eastAsia="仿宋_GB2312" w:cs="仿宋_GB2312"/>
          <w:kern w:val="0"/>
          <w:sz w:val="32"/>
          <w:szCs w:val="32"/>
          <w:u w:val="none" w:color="auto"/>
          <w:lang w:eastAsia="zh-CN"/>
        </w:rPr>
        <w:t>差异的原因：</w:t>
      </w:r>
      <w:r>
        <w:rPr>
          <w:rFonts w:hint="eastAsia" w:ascii="仿宋_GB2312" w:hAnsi="仿宋_GB2312" w:eastAsia="仿宋_GB2312" w:cs="仿宋_GB2312"/>
          <w:kern w:val="0"/>
          <w:sz w:val="32"/>
          <w:szCs w:val="32"/>
          <w:u w:val="none" w:color="auto"/>
          <w:lang w:val="en-US" w:eastAsia="zh-CN"/>
        </w:rPr>
        <w:t>2024年增加南互通征地信访事务。</w:t>
      </w:r>
    </w:p>
    <w:p w14:paraId="432EEE12">
      <w:pPr>
        <w:keepNext w:val="0"/>
        <w:keepLines w:val="0"/>
        <w:pageBreakBefore w:val="0"/>
        <w:widowControl/>
        <w:kinsoku/>
        <w:wordWrap/>
        <w:overflowPunct/>
        <w:topLinePunct w:val="0"/>
        <w:autoSpaceDE/>
        <w:autoSpaceDN/>
        <w:bidi w:val="0"/>
        <w:adjustRightInd/>
        <w:snapToGrid/>
        <w:spacing w:line="560" w:lineRule="exact"/>
        <w:ind w:left="0" w:leftChars="0" w:firstLine="643" w:firstLineChars="200"/>
        <w:jc w:val="left"/>
        <w:textAlignment w:val="auto"/>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bCs/>
          <w:kern w:val="0"/>
          <w:sz w:val="32"/>
          <w:szCs w:val="32"/>
          <w:u w:val="none" w:color="auto"/>
        </w:rPr>
        <w:t>（二）</w:t>
      </w:r>
      <w:r>
        <w:rPr>
          <w:rFonts w:hint="eastAsia" w:ascii="仿宋_GB2312" w:hAnsi="仿宋_GB2312" w:eastAsia="仿宋_GB2312" w:cs="仿宋_GB2312"/>
          <w:b/>
          <w:bCs/>
          <w:kern w:val="0"/>
          <w:sz w:val="32"/>
          <w:szCs w:val="32"/>
          <w:u w:val="none" w:color="auto"/>
          <w:lang w:eastAsia="zh-CN"/>
        </w:rPr>
        <w:t>文化和旅游体育与传媒</w:t>
      </w:r>
      <w:r>
        <w:rPr>
          <w:rFonts w:hint="eastAsia" w:ascii="仿宋_GB2312" w:hAnsi="仿宋_GB2312" w:eastAsia="仿宋_GB2312" w:cs="仿宋_GB2312"/>
          <w:b/>
          <w:bCs/>
          <w:kern w:val="0"/>
          <w:sz w:val="32"/>
          <w:szCs w:val="32"/>
          <w:u w:val="none" w:color="auto"/>
        </w:rPr>
        <w:t>（类）</w:t>
      </w:r>
    </w:p>
    <w:p w14:paraId="54FE5FDF">
      <w:pPr>
        <w:keepNext w:val="0"/>
        <w:keepLines w:val="0"/>
        <w:pageBreakBefore w:val="0"/>
        <w:widowControl/>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val="0"/>
          <w:bCs w:val="0"/>
          <w:kern w:val="0"/>
          <w:sz w:val="32"/>
          <w:szCs w:val="32"/>
          <w:u w:val="none" w:color="auto"/>
          <w:lang w:eastAsia="zh-CN"/>
        </w:rPr>
        <w:t>文化和旅游体育与传媒</w:t>
      </w:r>
      <w:r>
        <w:rPr>
          <w:rFonts w:hint="eastAsia" w:ascii="仿宋_GB2312" w:hAnsi="仿宋_GB2312" w:eastAsia="仿宋_GB2312" w:cs="仿宋_GB2312"/>
          <w:kern w:val="0"/>
          <w:sz w:val="32"/>
          <w:szCs w:val="32"/>
          <w:u w:val="none" w:color="auto"/>
        </w:rPr>
        <w:t>类决算数为</w:t>
      </w:r>
      <w:r>
        <w:rPr>
          <w:rFonts w:hint="eastAsia" w:ascii="仿宋_GB2312" w:hAnsi="仿宋_GB2312" w:eastAsia="仿宋_GB2312" w:cs="仿宋_GB2312"/>
          <w:kern w:val="0"/>
          <w:sz w:val="32"/>
          <w:szCs w:val="32"/>
          <w:u w:val="none" w:color="auto"/>
          <w:lang w:val="en-US" w:eastAsia="zh-CN"/>
        </w:rPr>
        <w:t>0</w:t>
      </w:r>
      <w:r>
        <w:rPr>
          <w:rFonts w:hint="eastAsia" w:ascii="仿宋_GB2312" w:hAnsi="仿宋_GB2312" w:eastAsia="仿宋_GB2312" w:cs="仿宋_GB2312"/>
          <w:kern w:val="0"/>
          <w:sz w:val="32"/>
          <w:szCs w:val="32"/>
          <w:u w:val="none" w:color="auto"/>
        </w:rPr>
        <w:t>万元，与年初预算相比</w:t>
      </w:r>
      <w:r>
        <w:rPr>
          <w:rFonts w:hint="eastAsia" w:ascii="仿宋_GB2312" w:hAnsi="仿宋_GB2312" w:eastAsia="仿宋_GB2312" w:cs="仿宋_GB2312"/>
          <w:kern w:val="0"/>
          <w:sz w:val="32"/>
          <w:szCs w:val="32"/>
          <w:u w:val="none" w:color="auto"/>
          <w:lang w:eastAsia="zh-CN"/>
        </w:rPr>
        <w:t>减少</w:t>
      </w:r>
      <w:r>
        <w:rPr>
          <w:rFonts w:hint="eastAsia" w:ascii="仿宋_GB2312" w:hAnsi="仿宋_GB2312" w:eastAsia="仿宋_GB2312" w:cs="仿宋_GB2312"/>
          <w:kern w:val="0"/>
          <w:sz w:val="32"/>
          <w:szCs w:val="32"/>
          <w:u w:val="none" w:color="auto"/>
          <w:lang w:val="en-US" w:eastAsia="zh-CN"/>
        </w:rPr>
        <w:t>8.4</w:t>
      </w:r>
      <w:r>
        <w:rPr>
          <w:rFonts w:hint="eastAsia" w:ascii="仿宋_GB2312" w:hAnsi="仿宋_GB2312" w:eastAsia="仿宋_GB2312" w:cs="仿宋_GB2312"/>
          <w:kern w:val="0"/>
          <w:sz w:val="32"/>
          <w:szCs w:val="32"/>
          <w:u w:val="none" w:color="auto"/>
        </w:rPr>
        <w:t xml:space="preserve"> 万元。其中：</w:t>
      </w:r>
    </w:p>
    <w:p w14:paraId="07C8626D">
      <w:pPr>
        <w:keepNext w:val="0"/>
        <w:keepLines w:val="0"/>
        <w:pageBreakBefore w:val="0"/>
        <w:widowControl/>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kern w:val="0"/>
          <w:sz w:val="32"/>
          <w:szCs w:val="32"/>
          <w:u w:val="none" w:color="auto"/>
          <w:lang w:eastAsia="zh-CN"/>
        </w:rPr>
      </w:pPr>
      <w:r>
        <w:rPr>
          <w:rFonts w:hint="eastAsia" w:ascii="仿宋_GB2312" w:hAnsi="仿宋_GB2312" w:eastAsia="仿宋_GB2312" w:cs="仿宋_GB2312"/>
          <w:kern w:val="0"/>
          <w:sz w:val="32"/>
          <w:szCs w:val="32"/>
          <w:u w:val="none" w:color="auto"/>
          <w:lang w:val="en-US" w:eastAsia="zh-CN"/>
        </w:rPr>
        <w:t>1</w:t>
      </w:r>
      <w:r>
        <w:rPr>
          <w:rFonts w:hint="eastAsia" w:ascii="仿宋_GB2312" w:hAnsi="仿宋_GB2312" w:eastAsia="仿宋_GB2312" w:cs="仿宋_GB2312"/>
          <w:kern w:val="0"/>
          <w:sz w:val="32"/>
          <w:szCs w:val="32"/>
          <w:u w:val="none" w:color="auto"/>
        </w:rPr>
        <w:t>．</w:t>
      </w:r>
      <w:r>
        <w:rPr>
          <w:rFonts w:hint="eastAsia" w:ascii="仿宋_GB2312" w:hAnsi="仿宋_GB2312" w:eastAsia="仿宋_GB2312" w:cs="仿宋_GB2312"/>
          <w:kern w:val="0"/>
          <w:sz w:val="32"/>
          <w:szCs w:val="32"/>
          <w:u w:val="none" w:color="auto"/>
          <w:lang w:eastAsia="zh-CN"/>
        </w:rPr>
        <w:t>文化和旅游</w:t>
      </w:r>
      <w:r>
        <w:rPr>
          <w:rFonts w:hint="eastAsia" w:ascii="仿宋_GB2312" w:hAnsi="仿宋_GB2312" w:eastAsia="仿宋_GB2312" w:cs="仿宋_GB2312"/>
          <w:kern w:val="0"/>
          <w:sz w:val="32"/>
          <w:szCs w:val="32"/>
          <w:u w:val="none" w:color="auto"/>
        </w:rPr>
        <w:t>（款）</w:t>
      </w:r>
      <w:r>
        <w:rPr>
          <w:rFonts w:hint="eastAsia" w:ascii="仿宋_GB2312" w:hAnsi="仿宋_GB2312" w:eastAsia="仿宋_GB2312" w:cs="仿宋_GB2312"/>
          <w:kern w:val="0"/>
          <w:sz w:val="32"/>
          <w:szCs w:val="32"/>
          <w:u w:val="none" w:color="auto"/>
          <w:lang w:eastAsia="zh-CN"/>
        </w:rPr>
        <w:t>其他文化和旅游</w:t>
      </w:r>
      <w:r>
        <w:rPr>
          <w:rFonts w:hint="eastAsia" w:ascii="仿宋_GB2312" w:hAnsi="仿宋_GB2312" w:eastAsia="仿宋_GB2312" w:cs="仿宋_GB2312"/>
          <w:kern w:val="0"/>
          <w:sz w:val="32"/>
          <w:szCs w:val="32"/>
          <w:u w:val="none" w:color="auto"/>
        </w:rPr>
        <w:t>（项）。年初预算</w:t>
      </w:r>
      <w:r>
        <w:rPr>
          <w:rFonts w:hint="eastAsia" w:ascii="仿宋_GB2312" w:hAnsi="仿宋_GB2312" w:eastAsia="仿宋_GB2312" w:cs="仿宋_GB2312"/>
          <w:kern w:val="0"/>
          <w:sz w:val="32"/>
          <w:szCs w:val="32"/>
          <w:u w:val="none" w:color="auto"/>
          <w:lang w:val="en-US" w:eastAsia="zh-CN"/>
        </w:rPr>
        <w:t>8.4</w:t>
      </w:r>
      <w:r>
        <w:rPr>
          <w:rFonts w:hint="eastAsia" w:ascii="仿宋_GB2312" w:hAnsi="仿宋_GB2312" w:eastAsia="仿宋_GB2312" w:cs="仿宋_GB2312"/>
          <w:kern w:val="0"/>
          <w:sz w:val="32"/>
          <w:szCs w:val="32"/>
          <w:u w:val="none" w:color="auto"/>
        </w:rPr>
        <w:t>万元，支出决算</w:t>
      </w:r>
      <w:r>
        <w:rPr>
          <w:rFonts w:hint="eastAsia" w:ascii="仿宋_GB2312" w:hAnsi="仿宋_GB2312" w:eastAsia="仿宋_GB2312" w:cs="仿宋_GB2312"/>
          <w:kern w:val="0"/>
          <w:sz w:val="32"/>
          <w:szCs w:val="32"/>
          <w:u w:val="none" w:color="auto"/>
          <w:lang w:val="en-US" w:eastAsia="zh-CN"/>
        </w:rPr>
        <w:t>0</w:t>
      </w:r>
      <w:r>
        <w:rPr>
          <w:rFonts w:hint="eastAsia" w:ascii="仿宋_GB2312" w:hAnsi="仿宋_GB2312" w:eastAsia="仿宋_GB2312" w:cs="仿宋_GB2312"/>
          <w:kern w:val="0"/>
          <w:sz w:val="32"/>
          <w:szCs w:val="32"/>
          <w:u w:val="none" w:color="auto"/>
        </w:rPr>
        <w:t>万元，完成年初预算的</w:t>
      </w:r>
      <w:r>
        <w:rPr>
          <w:rFonts w:hint="eastAsia" w:ascii="仿宋_GB2312" w:hAnsi="仿宋_GB2312" w:eastAsia="仿宋_GB2312" w:cs="仿宋_GB2312"/>
          <w:kern w:val="0"/>
          <w:sz w:val="32"/>
          <w:szCs w:val="32"/>
          <w:u w:val="none" w:color="auto"/>
          <w:lang w:val="en-US" w:eastAsia="zh-CN"/>
        </w:rPr>
        <w:t>0</w:t>
      </w:r>
      <w:r>
        <w:rPr>
          <w:rFonts w:hint="eastAsia" w:ascii="仿宋_GB2312" w:hAnsi="仿宋_GB2312" w:eastAsia="仿宋_GB2312" w:cs="仿宋_GB2312"/>
          <w:kern w:val="0"/>
          <w:sz w:val="32"/>
          <w:szCs w:val="32"/>
          <w:u w:val="none" w:color="auto"/>
        </w:rPr>
        <w:t>%。决算数与年初预算数的差异原因：</w:t>
      </w:r>
      <w:r>
        <w:rPr>
          <w:rFonts w:hint="eastAsia" w:ascii="仿宋_GB2312" w:hAnsi="仿宋_GB2312" w:eastAsia="仿宋_GB2312" w:cs="仿宋_GB2312"/>
          <w:kern w:val="0"/>
          <w:sz w:val="32"/>
          <w:szCs w:val="32"/>
          <w:u w:val="none" w:color="auto"/>
          <w:lang w:eastAsia="zh-CN"/>
        </w:rPr>
        <w:t>河西街道办事处文化站免费开放资金项目没有开展。</w:t>
      </w:r>
    </w:p>
    <w:p w14:paraId="128CFAEF">
      <w:pPr>
        <w:keepNext w:val="0"/>
        <w:keepLines w:val="0"/>
        <w:pageBreakBefore w:val="0"/>
        <w:widowControl/>
        <w:kinsoku/>
        <w:wordWrap/>
        <w:overflowPunct/>
        <w:topLinePunct w:val="0"/>
        <w:autoSpaceDE/>
        <w:autoSpaceDN/>
        <w:bidi w:val="0"/>
        <w:adjustRightInd/>
        <w:snapToGrid/>
        <w:spacing w:line="560" w:lineRule="exact"/>
        <w:ind w:left="0" w:leftChars="0" w:firstLine="643" w:firstLineChars="200"/>
        <w:jc w:val="left"/>
        <w:textAlignment w:val="auto"/>
        <w:rPr>
          <w:rFonts w:hint="eastAsia" w:ascii="仿宋_GB2312" w:hAnsi="仿宋_GB2312" w:eastAsia="仿宋_GB2312" w:cs="仿宋_GB2312"/>
          <w:b/>
          <w:bCs/>
          <w:kern w:val="0"/>
          <w:sz w:val="32"/>
          <w:szCs w:val="32"/>
          <w:u w:val="none" w:color="auto"/>
        </w:rPr>
      </w:pPr>
      <w:r>
        <w:rPr>
          <w:rFonts w:hint="eastAsia" w:ascii="仿宋_GB2312" w:hAnsi="仿宋_GB2312" w:eastAsia="仿宋_GB2312" w:cs="仿宋_GB2312"/>
          <w:b/>
          <w:bCs/>
          <w:kern w:val="0"/>
          <w:sz w:val="32"/>
          <w:szCs w:val="32"/>
          <w:u w:val="none" w:color="auto"/>
        </w:rPr>
        <w:t>（三）社会保障和就业支出（类）</w:t>
      </w:r>
    </w:p>
    <w:p w14:paraId="4EA46F62">
      <w:pPr>
        <w:keepNext w:val="0"/>
        <w:keepLines w:val="0"/>
        <w:pageBreakBefore w:val="0"/>
        <w:widowControl/>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kern w:val="0"/>
          <w:sz w:val="32"/>
          <w:szCs w:val="32"/>
          <w:u w:val="none" w:color="auto"/>
        </w:rPr>
        <w:t xml:space="preserve">社会保障和就业支出类决算数为 </w:t>
      </w:r>
      <w:r>
        <w:rPr>
          <w:rFonts w:hint="eastAsia" w:ascii="仿宋_GB2312" w:hAnsi="仿宋_GB2312" w:eastAsia="仿宋_GB2312" w:cs="仿宋_GB2312"/>
          <w:kern w:val="0"/>
          <w:sz w:val="32"/>
          <w:szCs w:val="32"/>
          <w:u w:val="none" w:color="auto"/>
          <w:lang w:val="en-US" w:eastAsia="zh-CN"/>
        </w:rPr>
        <w:t>75.46</w:t>
      </w:r>
      <w:r>
        <w:rPr>
          <w:rFonts w:hint="eastAsia" w:ascii="仿宋_GB2312" w:hAnsi="仿宋_GB2312" w:eastAsia="仿宋_GB2312" w:cs="仿宋_GB2312"/>
          <w:kern w:val="0"/>
          <w:sz w:val="32"/>
          <w:szCs w:val="32"/>
          <w:u w:val="none" w:color="auto"/>
        </w:rPr>
        <w:t xml:space="preserve">万元，与年初预算相比增加 </w:t>
      </w:r>
      <w:r>
        <w:rPr>
          <w:rFonts w:hint="eastAsia" w:ascii="仿宋_GB2312" w:hAnsi="仿宋_GB2312" w:eastAsia="仿宋_GB2312" w:cs="仿宋_GB2312"/>
          <w:kern w:val="0"/>
          <w:sz w:val="32"/>
          <w:szCs w:val="32"/>
          <w:u w:val="none" w:color="auto"/>
          <w:lang w:val="en-US" w:eastAsia="zh-CN"/>
        </w:rPr>
        <w:t>8.76</w:t>
      </w:r>
      <w:r>
        <w:rPr>
          <w:rFonts w:hint="eastAsia" w:ascii="仿宋_GB2312" w:hAnsi="仿宋_GB2312" w:eastAsia="仿宋_GB2312" w:cs="仿宋_GB2312"/>
          <w:kern w:val="0"/>
          <w:sz w:val="32"/>
          <w:szCs w:val="32"/>
          <w:u w:val="none" w:color="auto"/>
        </w:rPr>
        <w:t>万元。其中：</w:t>
      </w:r>
    </w:p>
    <w:p w14:paraId="67FDB752">
      <w:pPr>
        <w:keepNext w:val="0"/>
        <w:keepLines w:val="0"/>
        <w:pageBreakBefore w:val="0"/>
        <w:widowControl/>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kern w:val="0"/>
          <w:sz w:val="32"/>
          <w:szCs w:val="32"/>
          <w:u w:val="none" w:color="auto"/>
        </w:rPr>
        <w:t>1．行政事业单位养老支出（款）行政单位离退休（项）。年初预算</w:t>
      </w:r>
      <w:r>
        <w:rPr>
          <w:rFonts w:hint="eastAsia" w:ascii="仿宋_GB2312" w:hAnsi="仿宋_GB2312" w:eastAsia="仿宋_GB2312" w:cs="仿宋_GB2312"/>
          <w:kern w:val="0"/>
          <w:sz w:val="32"/>
          <w:szCs w:val="32"/>
          <w:u w:val="none" w:color="auto"/>
          <w:lang w:val="en-US" w:eastAsia="zh-CN"/>
        </w:rPr>
        <w:t>28.99</w:t>
      </w:r>
      <w:r>
        <w:rPr>
          <w:rFonts w:hint="eastAsia" w:ascii="仿宋_GB2312" w:hAnsi="仿宋_GB2312" w:eastAsia="仿宋_GB2312" w:cs="仿宋_GB2312"/>
          <w:kern w:val="0"/>
          <w:sz w:val="32"/>
          <w:szCs w:val="32"/>
          <w:u w:val="none" w:color="auto"/>
        </w:rPr>
        <w:t>万元，支出决算</w:t>
      </w:r>
      <w:r>
        <w:rPr>
          <w:rFonts w:hint="eastAsia" w:ascii="仿宋_GB2312" w:hAnsi="仿宋_GB2312" w:eastAsia="仿宋_GB2312" w:cs="仿宋_GB2312"/>
          <w:kern w:val="0"/>
          <w:sz w:val="32"/>
          <w:szCs w:val="32"/>
          <w:u w:val="none" w:color="auto"/>
          <w:lang w:val="en-US" w:eastAsia="zh-CN"/>
        </w:rPr>
        <w:t>31.23</w:t>
      </w:r>
      <w:r>
        <w:rPr>
          <w:rFonts w:hint="eastAsia" w:ascii="仿宋_GB2312" w:hAnsi="仿宋_GB2312" w:eastAsia="仿宋_GB2312" w:cs="仿宋_GB2312"/>
          <w:kern w:val="0"/>
          <w:sz w:val="32"/>
          <w:szCs w:val="32"/>
          <w:u w:val="none" w:color="auto"/>
        </w:rPr>
        <w:t>万元，完成年初预算的</w:t>
      </w:r>
      <w:r>
        <w:rPr>
          <w:rFonts w:hint="eastAsia" w:ascii="仿宋_GB2312" w:hAnsi="仿宋_GB2312" w:eastAsia="仿宋_GB2312" w:cs="仿宋_GB2312"/>
          <w:kern w:val="0"/>
          <w:sz w:val="32"/>
          <w:szCs w:val="32"/>
          <w:u w:val="none" w:color="auto"/>
          <w:lang w:val="en-US" w:eastAsia="zh-CN"/>
        </w:rPr>
        <w:t>107.7</w:t>
      </w:r>
      <w:r>
        <w:rPr>
          <w:rFonts w:hint="eastAsia" w:ascii="仿宋_GB2312" w:hAnsi="仿宋_GB2312" w:eastAsia="仿宋_GB2312" w:cs="仿宋_GB2312"/>
          <w:kern w:val="0"/>
          <w:sz w:val="32"/>
          <w:szCs w:val="32"/>
          <w:u w:val="none" w:color="auto"/>
        </w:rPr>
        <w:t>%。决算数与年初预算数的差异原因：</w:t>
      </w:r>
      <w:r>
        <w:rPr>
          <w:rFonts w:hint="eastAsia" w:ascii="仿宋_GB2312" w:hAnsi="仿宋_GB2312" w:eastAsia="仿宋_GB2312" w:cs="仿宋_GB2312"/>
          <w:kern w:val="0"/>
          <w:sz w:val="32"/>
          <w:szCs w:val="32"/>
          <w:u w:val="none" w:color="auto"/>
          <w:lang w:val="en-US" w:eastAsia="zh-CN"/>
        </w:rPr>
        <w:t>2024年河西街道办事处行政在职转退休1人（赵凤梅）</w:t>
      </w:r>
      <w:r>
        <w:rPr>
          <w:rFonts w:hint="eastAsia" w:ascii="仿宋_GB2312" w:hAnsi="仿宋_GB2312" w:eastAsia="仿宋_GB2312" w:cs="仿宋_GB2312"/>
          <w:kern w:val="0"/>
          <w:sz w:val="32"/>
          <w:szCs w:val="32"/>
          <w:u w:val="none" w:color="auto"/>
        </w:rPr>
        <w:t>。</w:t>
      </w:r>
    </w:p>
    <w:p w14:paraId="637D4AC2">
      <w:pPr>
        <w:keepNext w:val="0"/>
        <w:keepLines w:val="0"/>
        <w:pageBreakBefore w:val="0"/>
        <w:widowControl/>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kern w:val="0"/>
          <w:sz w:val="32"/>
          <w:szCs w:val="32"/>
          <w:u w:val="none" w:color="auto"/>
        </w:rPr>
        <w:t>2．行政事业单位养老支出（款）事业单位离退休（项）。年初预算</w:t>
      </w:r>
      <w:r>
        <w:rPr>
          <w:rFonts w:hint="eastAsia" w:ascii="仿宋_GB2312" w:hAnsi="仿宋_GB2312" w:eastAsia="仿宋_GB2312" w:cs="仿宋_GB2312"/>
          <w:kern w:val="0"/>
          <w:sz w:val="32"/>
          <w:szCs w:val="32"/>
          <w:u w:val="none" w:color="auto"/>
          <w:lang w:val="en-US" w:eastAsia="zh-CN"/>
        </w:rPr>
        <w:t>3.56</w:t>
      </w:r>
      <w:r>
        <w:rPr>
          <w:rFonts w:hint="eastAsia" w:ascii="仿宋_GB2312" w:hAnsi="仿宋_GB2312" w:eastAsia="仿宋_GB2312" w:cs="仿宋_GB2312"/>
          <w:kern w:val="0"/>
          <w:sz w:val="32"/>
          <w:szCs w:val="32"/>
          <w:u w:val="none" w:color="auto"/>
        </w:rPr>
        <w:t>万元，支出决算</w:t>
      </w:r>
      <w:r>
        <w:rPr>
          <w:rFonts w:hint="eastAsia" w:ascii="仿宋_GB2312" w:hAnsi="仿宋_GB2312" w:eastAsia="仿宋_GB2312" w:cs="仿宋_GB2312"/>
          <w:kern w:val="0"/>
          <w:sz w:val="32"/>
          <w:szCs w:val="32"/>
          <w:u w:val="none" w:color="auto"/>
          <w:lang w:val="en-US" w:eastAsia="zh-CN"/>
        </w:rPr>
        <w:t>4.49</w:t>
      </w:r>
      <w:r>
        <w:rPr>
          <w:rFonts w:hint="eastAsia" w:ascii="仿宋_GB2312" w:hAnsi="仿宋_GB2312" w:eastAsia="仿宋_GB2312" w:cs="仿宋_GB2312"/>
          <w:kern w:val="0"/>
          <w:sz w:val="32"/>
          <w:szCs w:val="32"/>
          <w:u w:val="none" w:color="auto"/>
        </w:rPr>
        <w:t>万元，完成年初预算的</w:t>
      </w:r>
      <w:r>
        <w:rPr>
          <w:rFonts w:hint="eastAsia" w:ascii="仿宋_GB2312" w:hAnsi="仿宋_GB2312" w:eastAsia="仿宋_GB2312" w:cs="仿宋_GB2312"/>
          <w:kern w:val="0"/>
          <w:sz w:val="32"/>
          <w:szCs w:val="32"/>
          <w:u w:val="none" w:color="auto"/>
          <w:lang w:val="en-US" w:eastAsia="zh-CN"/>
        </w:rPr>
        <w:t>126.1</w:t>
      </w:r>
      <w:r>
        <w:rPr>
          <w:rFonts w:hint="eastAsia" w:ascii="仿宋_GB2312" w:hAnsi="仿宋_GB2312" w:eastAsia="仿宋_GB2312" w:cs="仿宋_GB2312"/>
          <w:kern w:val="0"/>
          <w:sz w:val="32"/>
          <w:szCs w:val="32"/>
          <w:u w:val="none" w:color="auto"/>
        </w:rPr>
        <w:t>%。决算数与年初预算数的差异原因：</w:t>
      </w:r>
      <w:r>
        <w:rPr>
          <w:rFonts w:hint="eastAsia" w:ascii="仿宋_GB2312" w:hAnsi="仿宋_GB2312" w:eastAsia="仿宋_GB2312" w:cs="仿宋_GB2312"/>
          <w:kern w:val="0"/>
          <w:sz w:val="32"/>
          <w:szCs w:val="32"/>
          <w:u w:val="none" w:color="auto"/>
          <w:lang w:val="en-US" w:eastAsia="zh-CN"/>
        </w:rPr>
        <w:t>2024年河西街道办事处事业在职转退休1人（杨莲萍）</w:t>
      </w:r>
    </w:p>
    <w:p w14:paraId="4026ACC1">
      <w:pPr>
        <w:keepNext w:val="0"/>
        <w:keepLines w:val="0"/>
        <w:pageBreakBefore w:val="0"/>
        <w:widowControl/>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kern w:val="0"/>
          <w:sz w:val="32"/>
          <w:szCs w:val="32"/>
          <w:u w:val="none" w:color="auto"/>
          <w:lang w:eastAsia="zh-CN"/>
        </w:rPr>
      </w:pPr>
      <w:r>
        <w:rPr>
          <w:rFonts w:hint="eastAsia" w:ascii="仿宋_GB2312" w:hAnsi="仿宋_GB2312" w:eastAsia="仿宋_GB2312" w:cs="仿宋_GB2312"/>
          <w:kern w:val="0"/>
          <w:sz w:val="32"/>
          <w:szCs w:val="32"/>
          <w:u w:val="none" w:color="auto"/>
        </w:rPr>
        <w:t>3．行政事业单位养老支出（款）机关事业单位基本养老保险缴费支出（项）。年初预算</w:t>
      </w:r>
      <w:r>
        <w:rPr>
          <w:rFonts w:hint="eastAsia" w:ascii="仿宋_GB2312" w:hAnsi="仿宋_GB2312" w:eastAsia="仿宋_GB2312" w:cs="仿宋_GB2312"/>
          <w:kern w:val="0"/>
          <w:sz w:val="32"/>
          <w:szCs w:val="32"/>
          <w:u w:val="none" w:color="auto"/>
          <w:lang w:val="en-US" w:eastAsia="zh-CN"/>
        </w:rPr>
        <w:t>33.95</w:t>
      </w:r>
      <w:r>
        <w:rPr>
          <w:rFonts w:hint="eastAsia" w:ascii="仿宋_GB2312" w:hAnsi="仿宋_GB2312" w:eastAsia="仿宋_GB2312" w:cs="仿宋_GB2312"/>
          <w:kern w:val="0"/>
          <w:sz w:val="32"/>
          <w:szCs w:val="32"/>
          <w:u w:val="none" w:color="auto"/>
        </w:rPr>
        <w:t>万元，支出决算</w:t>
      </w:r>
      <w:r>
        <w:rPr>
          <w:rFonts w:hint="eastAsia" w:ascii="仿宋_GB2312" w:hAnsi="仿宋_GB2312" w:eastAsia="仿宋_GB2312" w:cs="仿宋_GB2312"/>
          <w:kern w:val="0"/>
          <w:sz w:val="32"/>
          <w:szCs w:val="32"/>
          <w:u w:val="none" w:color="auto"/>
          <w:lang w:val="en-US" w:eastAsia="zh-CN"/>
        </w:rPr>
        <w:t>32.43</w:t>
      </w:r>
      <w:r>
        <w:rPr>
          <w:rFonts w:hint="eastAsia" w:ascii="仿宋_GB2312" w:hAnsi="仿宋_GB2312" w:eastAsia="仿宋_GB2312" w:cs="仿宋_GB2312"/>
          <w:kern w:val="0"/>
          <w:sz w:val="32"/>
          <w:szCs w:val="32"/>
          <w:u w:val="none" w:color="auto"/>
        </w:rPr>
        <w:t>万元，完成年初预算的</w:t>
      </w:r>
      <w:r>
        <w:rPr>
          <w:rFonts w:hint="eastAsia" w:ascii="仿宋_GB2312" w:hAnsi="仿宋_GB2312" w:eastAsia="仿宋_GB2312" w:cs="仿宋_GB2312"/>
          <w:kern w:val="0"/>
          <w:sz w:val="32"/>
          <w:szCs w:val="32"/>
          <w:u w:val="none" w:color="auto"/>
          <w:lang w:val="en-US" w:eastAsia="zh-CN"/>
        </w:rPr>
        <w:t>95.5</w:t>
      </w:r>
      <w:r>
        <w:rPr>
          <w:rFonts w:hint="eastAsia" w:ascii="仿宋_GB2312" w:hAnsi="仿宋_GB2312" w:eastAsia="仿宋_GB2312" w:cs="仿宋_GB2312"/>
          <w:kern w:val="0"/>
          <w:sz w:val="32"/>
          <w:szCs w:val="32"/>
          <w:u w:val="none" w:color="auto"/>
        </w:rPr>
        <w:t>%。决算数与年初预算数差异原因</w:t>
      </w:r>
      <w:r>
        <w:rPr>
          <w:rFonts w:hint="eastAsia" w:ascii="仿宋_GB2312" w:hAnsi="仿宋_GB2312" w:eastAsia="仿宋_GB2312" w:cs="仿宋_GB2312"/>
          <w:kern w:val="0"/>
          <w:sz w:val="32"/>
          <w:szCs w:val="32"/>
          <w:u w:val="none" w:color="auto"/>
          <w:lang w:eastAsia="zh-CN"/>
        </w:rPr>
        <w:t>：</w:t>
      </w:r>
      <w:r>
        <w:rPr>
          <w:rFonts w:hint="eastAsia" w:ascii="仿宋_GB2312" w:hAnsi="仿宋_GB2312" w:eastAsia="仿宋_GB2312" w:cs="仿宋_GB2312"/>
          <w:kern w:val="0"/>
          <w:sz w:val="32"/>
          <w:szCs w:val="32"/>
          <w:u w:val="none" w:color="auto"/>
          <w:lang w:val="en-US" w:eastAsia="zh-CN"/>
        </w:rPr>
        <w:t>2024年河西街道办事处在职转退休2人（赵凤梅8月退休，杨莲萍10月退休）</w:t>
      </w:r>
    </w:p>
    <w:p w14:paraId="32A406AB">
      <w:pPr>
        <w:keepNext w:val="0"/>
        <w:keepLines w:val="0"/>
        <w:pageBreakBefore w:val="0"/>
        <w:widowControl/>
        <w:numPr>
          <w:ilvl w:val="0"/>
          <w:numId w:val="3"/>
        </w:numPr>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kern w:val="0"/>
          <w:sz w:val="32"/>
          <w:szCs w:val="32"/>
          <w:u w:val="none" w:color="auto"/>
          <w:lang w:val="en-US" w:eastAsia="zh-CN"/>
        </w:rPr>
      </w:pPr>
      <w:r>
        <w:rPr>
          <w:rFonts w:hint="eastAsia" w:ascii="仿宋_GB2312" w:hAnsi="仿宋_GB2312" w:eastAsia="仿宋_GB2312" w:cs="仿宋_GB2312"/>
          <w:kern w:val="0"/>
          <w:sz w:val="32"/>
          <w:szCs w:val="32"/>
          <w:u w:val="none" w:color="auto"/>
        </w:rPr>
        <w:t>行政事业单位养老支出（款）机关事业单位职业年金缴费支出（项）。年初预算</w:t>
      </w:r>
      <w:r>
        <w:rPr>
          <w:rFonts w:hint="eastAsia" w:ascii="仿宋_GB2312" w:hAnsi="仿宋_GB2312" w:eastAsia="仿宋_GB2312" w:cs="仿宋_GB2312"/>
          <w:kern w:val="0"/>
          <w:sz w:val="32"/>
          <w:szCs w:val="32"/>
          <w:u w:val="none" w:color="auto"/>
          <w:lang w:val="en-US" w:eastAsia="zh-CN"/>
        </w:rPr>
        <w:t>0</w:t>
      </w:r>
      <w:r>
        <w:rPr>
          <w:rFonts w:hint="eastAsia" w:ascii="仿宋_GB2312" w:hAnsi="仿宋_GB2312" w:eastAsia="仿宋_GB2312" w:cs="仿宋_GB2312"/>
          <w:kern w:val="0"/>
          <w:sz w:val="32"/>
          <w:szCs w:val="32"/>
          <w:u w:val="none" w:color="auto"/>
        </w:rPr>
        <w:t>万元，支出决算</w:t>
      </w:r>
      <w:r>
        <w:rPr>
          <w:rFonts w:hint="eastAsia" w:ascii="仿宋_GB2312" w:hAnsi="仿宋_GB2312" w:eastAsia="仿宋_GB2312" w:cs="仿宋_GB2312"/>
          <w:kern w:val="0"/>
          <w:sz w:val="32"/>
          <w:szCs w:val="32"/>
          <w:u w:val="none" w:color="auto"/>
          <w:lang w:val="en-US" w:eastAsia="zh-CN"/>
        </w:rPr>
        <w:t>7.32</w:t>
      </w:r>
      <w:r>
        <w:rPr>
          <w:rFonts w:hint="eastAsia" w:ascii="仿宋_GB2312" w:hAnsi="仿宋_GB2312" w:eastAsia="仿宋_GB2312" w:cs="仿宋_GB2312"/>
          <w:kern w:val="0"/>
          <w:sz w:val="32"/>
          <w:szCs w:val="32"/>
          <w:u w:val="none" w:color="auto"/>
        </w:rPr>
        <w:t>万元，完成年初预算的</w:t>
      </w:r>
      <w:r>
        <w:rPr>
          <w:rFonts w:hint="eastAsia" w:ascii="仿宋_GB2312" w:hAnsi="仿宋_GB2312" w:eastAsia="仿宋_GB2312" w:cs="仿宋_GB2312"/>
          <w:kern w:val="0"/>
          <w:sz w:val="32"/>
          <w:szCs w:val="32"/>
          <w:u w:val="none" w:color="auto"/>
          <w:lang w:val="en-US" w:eastAsia="zh-CN"/>
        </w:rPr>
        <w:t>0</w:t>
      </w:r>
      <w:r>
        <w:rPr>
          <w:rFonts w:hint="eastAsia" w:ascii="仿宋_GB2312" w:hAnsi="仿宋_GB2312" w:eastAsia="仿宋_GB2312" w:cs="仿宋_GB2312"/>
          <w:kern w:val="0"/>
          <w:sz w:val="32"/>
          <w:szCs w:val="32"/>
          <w:u w:val="none" w:color="auto"/>
        </w:rPr>
        <w:t>%。决算数与年初预算数的差异原因：</w:t>
      </w:r>
      <w:r>
        <w:rPr>
          <w:rFonts w:hint="eastAsia" w:ascii="仿宋_GB2312" w:hAnsi="仿宋_GB2312" w:eastAsia="仿宋_GB2312" w:cs="仿宋_GB2312"/>
          <w:kern w:val="0"/>
          <w:sz w:val="32"/>
          <w:szCs w:val="32"/>
          <w:u w:val="none" w:color="auto"/>
          <w:lang w:val="en-US" w:eastAsia="zh-CN"/>
        </w:rPr>
        <w:t>2024年河西街道办事处在职转退休2人，增加职业年金缴费。</w:t>
      </w:r>
    </w:p>
    <w:p w14:paraId="232763AF">
      <w:pPr>
        <w:keepNext w:val="0"/>
        <w:keepLines w:val="0"/>
        <w:pageBreakBefore w:val="0"/>
        <w:widowControl/>
        <w:numPr>
          <w:ilvl w:val="0"/>
          <w:numId w:val="3"/>
        </w:numPr>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kern w:val="0"/>
          <w:sz w:val="32"/>
          <w:szCs w:val="32"/>
          <w:u w:val="none" w:color="auto"/>
          <w:lang w:val="en-US" w:eastAsia="zh-CN"/>
        </w:rPr>
      </w:pPr>
      <w:r>
        <w:rPr>
          <w:rFonts w:hint="eastAsia" w:ascii="仿宋_GB2312" w:hAnsi="仿宋_GB2312" w:eastAsia="仿宋_GB2312" w:cs="仿宋_GB2312"/>
          <w:kern w:val="0"/>
          <w:sz w:val="32"/>
          <w:szCs w:val="32"/>
          <w:u w:val="none" w:color="auto"/>
          <w:lang w:eastAsia="zh-CN"/>
        </w:rPr>
        <w:t>退役军人管理事务</w:t>
      </w:r>
      <w:r>
        <w:rPr>
          <w:rFonts w:hint="eastAsia" w:ascii="仿宋_GB2312" w:hAnsi="仿宋_GB2312" w:eastAsia="仿宋_GB2312" w:cs="仿宋_GB2312"/>
          <w:kern w:val="0"/>
          <w:sz w:val="32"/>
          <w:szCs w:val="32"/>
          <w:u w:val="none" w:color="auto"/>
        </w:rPr>
        <w:t>（款）</w:t>
      </w:r>
      <w:r>
        <w:rPr>
          <w:rFonts w:hint="eastAsia" w:ascii="仿宋_GB2312" w:hAnsi="仿宋_GB2312" w:eastAsia="仿宋_GB2312" w:cs="仿宋_GB2312"/>
          <w:kern w:val="0"/>
          <w:sz w:val="32"/>
          <w:szCs w:val="32"/>
          <w:u w:val="none" w:color="auto"/>
          <w:lang w:eastAsia="zh-CN"/>
        </w:rPr>
        <w:t>其他退役军人管理事务</w:t>
      </w:r>
      <w:r>
        <w:rPr>
          <w:rFonts w:hint="eastAsia" w:ascii="仿宋_GB2312" w:hAnsi="仿宋_GB2312" w:eastAsia="仿宋_GB2312" w:cs="仿宋_GB2312"/>
          <w:kern w:val="0"/>
          <w:sz w:val="32"/>
          <w:szCs w:val="32"/>
          <w:u w:val="none" w:color="auto"/>
        </w:rPr>
        <w:t>支出（项）。年初预算</w:t>
      </w:r>
      <w:r>
        <w:rPr>
          <w:rFonts w:hint="eastAsia" w:ascii="仿宋_GB2312" w:hAnsi="仿宋_GB2312" w:eastAsia="仿宋_GB2312" w:cs="仿宋_GB2312"/>
          <w:kern w:val="0"/>
          <w:sz w:val="32"/>
          <w:szCs w:val="32"/>
          <w:u w:val="none" w:color="auto"/>
          <w:lang w:val="en-US" w:eastAsia="zh-CN"/>
        </w:rPr>
        <w:t>0.2</w:t>
      </w:r>
      <w:r>
        <w:rPr>
          <w:rFonts w:hint="eastAsia" w:ascii="仿宋_GB2312" w:hAnsi="仿宋_GB2312" w:eastAsia="仿宋_GB2312" w:cs="仿宋_GB2312"/>
          <w:kern w:val="0"/>
          <w:sz w:val="32"/>
          <w:szCs w:val="32"/>
          <w:u w:val="none" w:color="auto"/>
        </w:rPr>
        <w:t>万元，支出决算</w:t>
      </w:r>
      <w:r>
        <w:rPr>
          <w:rFonts w:hint="eastAsia" w:ascii="仿宋_GB2312" w:hAnsi="仿宋_GB2312" w:eastAsia="仿宋_GB2312" w:cs="仿宋_GB2312"/>
          <w:kern w:val="0"/>
          <w:sz w:val="32"/>
          <w:szCs w:val="32"/>
          <w:u w:val="none" w:color="auto"/>
          <w:lang w:val="en-US" w:eastAsia="zh-CN"/>
        </w:rPr>
        <w:t>0</w:t>
      </w:r>
      <w:r>
        <w:rPr>
          <w:rFonts w:hint="eastAsia" w:ascii="仿宋_GB2312" w:hAnsi="仿宋_GB2312" w:eastAsia="仿宋_GB2312" w:cs="仿宋_GB2312"/>
          <w:kern w:val="0"/>
          <w:sz w:val="32"/>
          <w:szCs w:val="32"/>
          <w:u w:val="none" w:color="auto"/>
        </w:rPr>
        <w:t>万元，完成年初预算的</w:t>
      </w:r>
      <w:r>
        <w:rPr>
          <w:rFonts w:hint="eastAsia" w:ascii="仿宋_GB2312" w:hAnsi="仿宋_GB2312" w:eastAsia="仿宋_GB2312" w:cs="仿宋_GB2312"/>
          <w:kern w:val="0"/>
          <w:sz w:val="32"/>
          <w:szCs w:val="32"/>
          <w:u w:val="none" w:color="auto"/>
          <w:lang w:val="en-US" w:eastAsia="zh-CN"/>
        </w:rPr>
        <w:t>0</w:t>
      </w:r>
      <w:r>
        <w:rPr>
          <w:rFonts w:hint="eastAsia" w:ascii="仿宋_GB2312" w:hAnsi="仿宋_GB2312" w:eastAsia="仿宋_GB2312" w:cs="仿宋_GB2312"/>
          <w:kern w:val="0"/>
          <w:sz w:val="32"/>
          <w:szCs w:val="32"/>
          <w:u w:val="none" w:color="auto"/>
        </w:rPr>
        <w:t>%。决算数与年初预算数的差异原因：</w:t>
      </w:r>
      <w:r>
        <w:rPr>
          <w:rFonts w:hint="eastAsia" w:ascii="仿宋_GB2312" w:hAnsi="仿宋_GB2312" w:eastAsia="仿宋_GB2312" w:cs="仿宋_GB2312"/>
          <w:kern w:val="0"/>
          <w:sz w:val="32"/>
          <w:szCs w:val="32"/>
          <w:u w:val="none" w:color="auto"/>
          <w:lang w:eastAsia="zh-CN"/>
        </w:rPr>
        <w:t>退役军人管理事务支出列入行政支出中。</w:t>
      </w:r>
    </w:p>
    <w:p w14:paraId="407BF907">
      <w:pPr>
        <w:keepNext w:val="0"/>
        <w:keepLines w:val="0"/>
        <w:pageBreakBefore w:val="0"/>
        <w:widowControl/>
        <w:kinsoku/>
        <w:wordWrap/>
        <w:overflowPunct/>
        <w:topLinePunct w:val="0"/>
        <w:autoSpaceDE/>
        <w:autoSpaceDN/>
        <w:bidi w:val="0"/>
        <w:adjustRightInd/>
        <w:snapToGrid/>
        <w:spacing w:line="560" w:lineRule="exact"/>
        <w:ind w:left="0" w:leftChars="0" w:firstLine="643" w:firstLineChars="200"/>
        <w:jc w:val="left"/>
        <w:textAlignment w:val="auto"/>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bCs/>
          <w:kern w:val="0"/>
          <w:sz w:val="32"/>
          <w:szCs w:val="32"/>
          <w:u w:val="none" w:color="auto"/>
        </w:rPr>
        <w:t>（四）卫生健康支出（类）</w:t>
      </w:r>
    </w:p>
    <w:p w14:paraId="68721602">
      <w:pPr>
        <w:keepNext w:val="0"/>
        <w:keepLines w:val="0"/>
        <w:pageBreakBefore w:val="0"/>
        <w:widowControl/>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kern w:val="0"/>
          <w:sz w:val="32"/>
          <w:szCs w:val="32"/>
          <w:u w:val="none" w:color="auto"/>
        </w:rPr>
        <w:t>卫生健康支出类决算数为</w:t>
      </w:r>
      <w:r>
        <w:rPr>
          <w:rFonts w:hint="eastAsia" w:ascii="仿宋_GB2312" w:hAnsi="仿宋_GB2312" w:eastAsia="仿宋_GB2312" w:cs="仿宋_GB2312"/>
          <w:kern w:val="0"/>
          <w:sz w:val="32"/>
          <w:szCs w:val="32"/>
          <w:u w:val="none" w:color="auto"/>
          <w:lang w:val="en-US" w:eastAsia="zh-CN"/>
        </w:rPr>
        <w:t>16.46</w:t>
      </w:r>
      <w:r>
        <w:rPr>
          <w:rFonts w:hint="eastAsia" w:ascii="仿宋_GB2312" w:hAnsi="仿宋_GB2312" w:eastAsia="仿宋_GB2312" w:cs="仿宋_GB2312"/>
          <w:kern w:val="0"/>
          <w:sz w:val="32"/>
          <w:szCs w:val="32"/>
          <w:u w:val="none" w:color="auto"/>
        </w:rPr>
        <w:t>万元，与年初预算相比减少2.</w:t>
      </w:r>
      <w:r>
        <w:rPr>
          <w:rFonts w:hint="eastAsia" w:ascii="仿宋_GB2312" w:hAnsi="仿宋_GB2312" w:eastAsia="仿宋_GB2312" w:cs="仿宋_GB2312"/>
          <w:kern w:val="0"/>
          <w:sz w:val="32"/>
          <w:szCs w:val="32"/>
          <w:u w:val="none" w:color="auto"/>
          <w:lang w:val="en-US" w:eastAsia="zh-CN"/>
        </w:rPr>
        <w:t>79</w:t>
      </w:r>
      <w:r>
        <w:rPr>
          <w:rFonts w:hint="eastAsia" w:ascii="仿宋_GB2312" w:hAnsi="仿宋_GB2312" w:eastAsia="仿宋_GB2312" w:cs="仿宋_GB2312"/>
          <w:kern w:val="0"/>
          <w:sz w:val="32"/>
          <w:szCs w:val="32"/>
          <w:u w:val="none" w:color="auto"/>
        </w:rPr>
        <w:t>万元。其中：</w:t>
      </w:r>
    </w:p>
    <w:p w14:paraId="4BB84CFE">
      <w:pPr>
        <w:keepNext w:val="0"/>
        <w:keepLines w:val="0"/>
        <w:pageBreakBefore w:val="0"/>
        <w:widowControl/>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z w:val="32"/>
          <w:szCs w:val="32"/>
          <w:u w:val="none" w:color="auto"/>
        </w:rPr>
      </w:pPr>
      <w:r>
        <w:rPr>
          <w:rFonts w:hint="eastAsia" w:ascii="仿宋_GB2312" w:hAnsi="仿宋_GB2312" w:eastAsia="仿宋_GB2312" w:cs="仿宋_GB2312"/>
          <w:kern w:val="0"/>
          <w:sz w:val="32"/>
          <w:szCs w:val="32"/>
          <w:u w:val="none" w:color="auto"/>
          <w:lang w:val="en-US" w:eastAsia="zh-CN"/>
        </w:rPr>
        <w:t>1</w:t>
      </w:r>
      <w:r>
        <w:rPr>
          <w:rFonts w:hint="eastAsia" w:ascii="仿宋_GB2312" w:hAnsi="仿宋_GB2312" w:eastAsia="仿宋_GB2312" w:cs="仿宋_GB2312"/>
          <w:kern w:val="0"/>
          <w:sz w:val="32"/>
          <w:szCs w:val="32"/>
          <w:u w:val="none" w:color="auto"/>
        </w:rPr>
        <w:t>．行政事业单位医疗（款）行政单位医疗（项）。年初预算</w:t>
      </w:r>
      <w:r>
        <w:rPr>
          <w:rFonts w:hint="eastAsia" w:ascii="仿宋_GB2312" w:hAnsi="仿宋_GB2312" w:eastAsia="仿宋_GB2312" w:cs="仿宋_GB2312"/>
          <w:kern w:val="0"/>
          <w:sz w:val="32"/>
          <w:szCs w:val="32"/>
          <w:u w:val="none" w:color="auto"/>
          <w:lang w:val="en-US" w:eastAsia="zh-CN"/>
        </w:rPr>
        <w:t>10.72</w:t>
      </w:r>
      <w:r>
        <w:rPr>
          <w:rFonts w:hint="eastAsia" w:ascii="仿宋_GB2312" w:hAnsi="仿宋_GB2312" w:eastAsia="仿宋_GB2312" w:cs="仿宋_GB2312"/>
          <w:kern w:val="0"/>
          <w:sz w:val="32"/>
          <w:szCs w:val="32"/>
          <w:u w:val="none" w:color="auto"/>
        </w:rPr>
        <w:t>万元，支出决算</w:t>
      </w:r>
      <w:r>
        <w:rPr>
          <w:rFonts w:hint="eastAsia" w:ascii="仿宋_GB2312" w:hAnsi="仿宋_GB2312" w:eastAsia="仿宋_GB2312" w:cs="仿宋_GB2312"/>
          <w:kern w:val="0"/>
          <w:sz w:val="32"/>
          <w:szCs w:val="32"/>
          <w:u w:val="none" w:color="auto"/>
          <w:lang w:val="en-US" w:eastAsia="zh-CN"/>
        </w:rPr>
        <w:t>9.83</w:t>
      </w:r>
      <w:r>
        <w:rPr>
          <w:rFonts w:hint="eastAsia" w:ascii="仿宋_GB2312" w:hAnsi="仿宋_GB2312" w:eastAsia="仿宋_GB2312" w:cs="仿宋_GB2312"/>
          <w:kern w:val="0"/>
          <w:sz w:val="32"/>
          <w:szCs w:val="32"/>
          <w:u w:val="none" w:color="auto"/>
        </w:rPr>
        <w:t>万元，完成年初预算的</w:t>
      </w:r>
      <w:r>
        <w:rPr>
          <w:rFonts w:hint="eastAsia" w:ascii="仿宋_GB2312" w:hAnsi="仿宋_GB2312" w:eastAsia="仿宋_GB2312" w:cs="仿宋_GB2312"/>
          <w:kern w:val="0"/>
          <w:sz w:val="32"/>
          <w:szCs w:val="32"/>
          <w:u w:val="none" w:color="auto"/>
          <w:lang w:val="en-US" w:eastAsia="zh-CN"/>
        </w:rPr>
        <w:t>91.7</w:t>
      </w:r>
      <w:r>
        <w:rPr>
          <w:rFonts w:hint="eastAsia" w:ascii="仿宋_GB2312" w:hAnsi="仿宋_GB2312" w:eastAsia="仿宋_GB2312" w:cs="仿宋_GB2312"/>
          <w:kern w:val="0"/>
          <w:sz w:val="32"/>
          <w:szCs w:val="32"/>
          <w:u w:val="none" w:color="auto"/>
        </w:rPr>
        <w:t>%。决算数与年初预算数的差异原因：</w:t>
      </w:r>
      <w:r>
        <w:rPr>
          <w:rFonts w:hint="eastAsia" w:ascii="仿宋_GB2312" w:hAnsi="仿宋_GB2312" w:eastAsia="仿宋_GB2312" w:cs="仿宋_GB2312"/>
          <w:kern w:val="0"/>
          <w:sz w:val="32"/>
          <w:szCs w:val="32"/>
          <w:u w:val="none" w:color="auto"/>
          <w:lang w:val="en-US" w:eastAsia="zh-CN"/>
        </w:rPr>
        <w:t>2024年河西街道办事处行政在职转退休1人（赵凤梅）</w:t>
      </w:r>
      <w:r>
        <w:rPr>
          <w:rFonts w:hint="eastAsia" w:ascii="仿宋_GB2312" w:hAnsi="仿宋_GB2312" w:eastAsia="仿宋_GB2312" w:cs="仿宋_GB2312"/>
          <w:kern w:val="0"/>
          <w:sz w:val="32"/>
          <w:szCs w:val="32"/>
          <w:u w:val="none" w:color="auto"/>
        </w:rPr>
        <w:t>。</w:t>
      </w:r>
    </w:p>
    <w:p w14:paraId="3AB24B6D">
      <w:pPr>
        <w:keepNext w:val="0"/>
        <w:keepLines w:val="0"/>
        <w:pageBreakBefore w:val="0"/>
        <w:widowControl/>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kern w:val="0"/>
          <w:sz w:val="32"/>
          <w:szCs w:val="32"/>
          <w:u w:val="none" w:color="auto"/>
          <w:lang w:val="en-US" w:eastAsia="zh-CN"/>
        </w:rPr>
        <w:t>2</w:t>
      </w:r>
      <w:r>
        <w:rPr>
          <w:rFonts w:hint="eastAsia" w:ascii="仿宋_GB2312" w:hAnsi="仿宋_GB2312" w:eastAsia="仿宋_GB2312" w:cs="仿宋_GB2312"/>
          <w:kern w:val="0"/>
          <w:sz w:val="32"/>
          <w:szCs w:val="32"/>
          <w:u w:val="none" w:color="auto"/>
        </w:rPr>
        <w:t>．行政事业单位医疗（款）事业单位医疗（项）。年初预算</w:t>
      </w:r>
      <w:r>
        <w:rPr>
          <w:rFonts w:hint="eastAsia" w:ascii="仿宋_GB2312" w:hAnsi="仿宋_GB2312" w:eastAsia="仿宋_GB2312" w:cs="仿宋_GB2312"/>
          <w:kern w:val="0"/>
          <w:sz w:val="32"/>
          <w:szCs w:val="32"/>
          <w:u w:val="none" w:color="auto"/>
          <w:lang w:val="en-US" w:eastAsia="zh-CN"/>
        </w:rPr>
        <w:t>8.53</w:t>
      </w:r>
      <w:r>
        <w:rPr>
          <w:rFonts w:hint="eastAsia" w:ascii="仿宋_GB2312" w:hAnsi="仿宋_GB2312" w:eastAsia="仿宋_GB2312" w:cs="仿宋_GB2312"/>
          <w:kern w:val="0"/>
          <w:sz w:val="32"/>
          <w:szCs w:val="32"/>
          <w:u w:val="none" w:color="auto"/>
        </w:rPr>
        <w:t>万元，支出决算</w:t>
      </w:r>
      <w:r>
        <w:rPr>
          <w:rFonts w:hint="eastAsia" w:ascii="仿宋_GB2312" w:hAnsi="仿宋_GB2312" w:eastAsia="仿宋_GB2312" w:cs="仿宋_GB2312"/>
          <w:kern w:val="0"/>
          <w:sz w:val="32"/>
          <w:szCs w:val="32"/>
          <w:u w:val="none" w:color="auto"/>
          <w:lang w:val="en-US" w:eastAsia="zh-CN"/>
        </w:rPr>
        <w:t>6.63</w:t>
      </w:r>
      <w:r>
        <w:rPr>
          <w:rFonts w:hint="eastAsia" w:ascii="仿宋_GB2312" w:hAnsi="仿宋_GB2312" w:eastAsia="仿宋_GB2312" w:cs="仿宋_GB2312"/>
          <w:kern w:val="0"/>
          <w:sz w:val="32"/>
          <w:szCs w:val="32"/>
          <w:u w:val="none" w:color="auto"/>
        </w:rPr>
        <w:t>万元，完成年初预算的</w:t>
      </w:r>
      <w:r>
        <w:rPr>
          <w:rFonts w:hint="eastAsia" w:ascii="仿宋_GB2312" w:hAnsi="仿宋_GB2312" w:eastAsia="仿宋_GB2312" w:cs="仿宋_GB2312"/>
          <w:kern w:val="0"/>
          <w:sz w:val="32"/>
          <w:szCs w:val="32"/>
          <w:u w:val="none" w:color="auto"/>
          <w:lang w:val="en-US" w:eastAsia="zh-CN"/>
        </w:rPr>
        <w:t>77.7</w:t>
      </w:r>
      <w:r>
        <w:rPr>
          <w:rFonts w:hint="eastAsia" w:ascii="仿宋_GB2312" w:hAnsi="仿宋_GB2312" w:eastAsia="仿宋_GB2312" w:cs="仿宋_GB2312"/>
          <w:kern w:val="0"/>
          <w:sz w:val="32"/>
          <w:szCs w:val="32"/>
          <w:u w:val="none" w:color="auto"/>
        </w:rPr>
        <w:t>%。决算数与年初预算数的差异原因：</w:t>
      </w:r>
      <w:r>
        <w:rPr>
          <w:rFonts w:hint="eastAsia" w:ascii="仿宋_GB2312" w:hAnsi="仿宋_GB2312" w:eastAsia="仿宋_GB2312" w:cs="仿宋_GB2312"/>
          <w:kern w:val="0"/>
          <w:sz w:val="32"/>
          <w:szCs w:val="32"/>
          <w:u w:val="none" w:color="auto"/>
          <w:lang w:val="en-US" w:eastAsia="zh-CN"/>
        </w:rPr>
        <w:t>2024年河西街道办事处事业在职转退休1人（杨莲萍）调出1人（王永权）</w:t>
      </w:r>
      <w:r>
        <w:rPr>
          <w:rFonts w:hint="eastAsia" w:ascii="仿宋_GB2312" w:hAnsi="仿宋_GB2312" w:eastAsia="仿宋_GB2312" w:cs="仿宋_GB2312"/>
          <w:kern w:val="0"/>
          <w:sz w:val="32"/>
          <w:szCs w:val="32"/>
          <w:u w:val="none" w:color="auto"/>
        </w:rPr>
        <w:t>。</w:t>
      </w:r>
    </w:p>
    <w:p w14:paraId="2F78C6E2">
      <w:pPr>
        <w:keepNext w:val="0"/>
        <w:keepLines w:val="0"/>
        <w:pageBreakBefore w:val="0"/>
        <w:widowControl/>
        <w:kinsoku/>
        <w:wordWrap/>
        <w:overflowPunct/>
        <w:topLinePunct w:val="0"/>
        <w:autoSpaceDE/>
        <w:autoSpaceDN/>
        <w:bidi w:val="0"/>
        <w:adjustRightInd/>
        <w:snapToGrid/>
        <w:spacing w:line="560" w:lineRule="exact"/>
        <w:ind w:left="0" w:leftChars="0" w:firstLine="643" w:firstLineChars="200"/>
        <w:jc w:val="left"/>
        <w:textAlignment w:val="auto"/>
        <w:rPr>
          <w:rFonts w:hint="eastAsia" w:ascii="仿宋_GB2312" w:hAnsi="仿宋_GB2312" w:eastAsia="仿宋_GB2312" w:cs="仿宋_GB2312"/>
          <w:b/>
          <w:bCs/>
          <w:kern w:val="0"/>
          <w:sz w:val="32"/>
          <w:szCs w:val="32"/>
          <w:u w:val="none" w:color="auto"/>
        </w:rPr>
      </w:pPr>
      <w:r>
        <w:rPr>
          <w:rFonts w:hint="eastAsia" w:ascii="仿宋_GB2312" w:hAnsi="仿宋_GB2312" w:eastAsia="仿宋_GB2312" w:cs="仿宋_GB2312"/>
          <w:b/>
          <w:bCs/>
          <w:kern w:val="0"/>
          <w:sz w:val="32"/>
          <w:szCs w:val="32"/>
          <w:u w:val="none" w:color="auto"/>
        </w:rPr>
        <w:t>（五）</w:t>
      </w:r>
      <w:r>
        <w:rPr>
          <w:rFonts w:hint="eastAsia" w:ascii="仿宋_GB2312" w:hAnsi="仿宋_GB2312" w:eastAsia="仿宋_GB2312" w:cs="仿宋_GB2312"/>
          <w:b/>
          <w:bCs/>
          <w:kern w:val="0"/>
          <w:sz w:val="32"/>
          <w:szCs w:val="32"/>
          <w:u w:val="none" w:color="auto"/>
          <w:lang w:eastAsia="zh-CN"/>
        </w:rPr>
        <w:t>城乡社区</w:t>
      </w:r>
      <w:r>
        <w:rPr>
          <w:rFonts w:hint="eastAsia" w:ascii="仿宋_GB2312" w:hAnsi="仿宋_GB2312" w:eastAsia="仿宋_GB2312" w:cs="仿宋_GB2312"/>
          <w:b/>
          <w:bCs/>
          <w:kern w:val="0"/>
          <w:sz w:val="32"/>
          <w:szCs w:val="32"/>
          <w:u w:val="none" w:color="auto"/>
        </w:rPr>
        <w:t>（类）</w:t>
      </w:r>
    </w:p>
    <w:p w14:paraId="595A914C">
      <w:pPr>
        <w:keepNext w:val="0"/>
        <w:keepLines w:val="0"/>
        <w:pageBreakBefore w:val="0"/>
        <w:widowControl/>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u w:val="none" w:color="auto"/>
        </w:rPr>
      </w:pPr>
      <w:r>
        <w:rPr>
          <w:rFonts w:hint="eastAsia" w:ascii="仿宋_GB2312" w:hAnsi="仿宋_GB2312" w:eastAsia="仿宋_GB2312" w:cs="仿宋_GB2312"/>
          <w:kern w:val="0"/>
          <w:sz w:val="32"/>
          <w:szCs w:val="32"/>
          <w:u w:val="none" w:color="auto"/>
          <w:lang w:eastAsia="zh-CN"/>
        </w:rPr>
        <w:t>城乡社区</w:t>
      </w:r>
      <w:r>
        <w:rPr>
          <w:rFonts w:hint="eastAsia" w:ascii="仿宋_GB2312" w:hAnsi="仿宋_GB2312" w:eastAsia="仿宋_GB2312" w:cs="仿宋_GB2312"/>
          <w:kern w:val="0"/>
          <w:sz w:val="32"/>
          <w:szCs w:val="32"/>
          <w:u w:val="none" w:color="auto"/>
        </w:rPr>
        <w:t xml:space="preserve">类决算数为 </w:t>
      </w:r>
      <w:r>
        <w:rPr>
          <w:rFonts w:hint="eastAsia" w:ascii="仿宋_GB2312" w:hAnsi="仿宋_GB2312" w:eastAsia="仿宋_GB2312" w:cs="仿宋_GB2312"/>
          <w:kern w:val="0"/>
          <w:sz w:val="32"/>
          <w:szCs w:val="32"/>
          <w:u w:val="none" w:color="auto"/>
          <w:lang w:val="en-US" w:eastAsia="zh-CN"/>
        </w:rPr>
        <w:t>76.87</w:t>
      </w:r>
      <w:r>
        <w:rPr>
          <w:rFonts w:hint="eastAsia" w:ascii="仿宋_GB2312" w:hAnsi="仿宋_GB2312" w:eastAsia="仿宋_GB2312" w:cs="仿宋_GB2312"/>
          <w:kern w:val="0"/>
          <w:sz w:val="32"/>
          <w:szCs w:val="32"/>
          <w:u w:val="none" w:color="auto"/>
        </w:rPr>
        <w:t>万元，与年初预算相比增加</w:t>
      </w:r>
      <w:r>
        <w:rPr>
          <w:rFonts w:hint="eastAsia" w:ascii="仿宋_GB2312" w:hAnsi="仿宋_GB2312" w:eastAsia="仿宋_GB2312" w:cs="仿宋_GB2312"/>
          <w:kern w:val="0"/>
          <w:sz w:val="32"/>
          <w:szCs w:val="32"/>
          <w:u w:val="none" w:color="auto"/>
          <w:lang w:val="en-US" w:eastAsia="zh-CN"/>
        </w:rPr>
        <w:t>46.87</w:t>
      </w:r>
      <w:r>
        <w:rPr>
          <w:rFonts w:hint="eastAsia" w:ascii="仿宋_GB2312" w:hAnsi="仿宋_GB2312" w:eastAsia="仿宋_GB2312" w:cs="仿宋_GB2312"/>
          <w:kern w:val="0"/>
          <w:sz w:val="32"/>
          <w:szCs w:val="32"/>
          <w:u w:val="none" w:color="auto"/>
        </w:rPr>
        <w:t>万元。其中：</w:t>
      </w:r>
    </w:p>
    <w:p w14:paraId="6FCF5B20">
      <w:pPr>
        <w:pStyle w:val="19"/>
        <w:keepNext w:val="0"/>
        <w:keepLines w:val="0"/>
        <w:pageBreakBefore w:val="0"/>
        <w:kinsoku/>
        <w:wordWrap/>
        <w:overflowPunct/>
        <w:topLinePunct w:val="0"/>
        <w:autoSpaceDE/>
        <w:autoSpaceDN/>
        <w:bidi w:val="0"/>
        <w:adjustRightInd/>
        <w:snapToGrid/>
        <w:spacing w:beforeLines="0" w:after="0" w:afterLines="0" w:line="560" w:lineRule="exact"/>
        <w:ind w:left="0" w:leftChars="0" w:firstLine="640" w:firstLineChars="200"/>
        <w:textAlignment w:val="auto"/>
        <w:rPr>
          <w:rFonts w:hint="eastAsia" w:ascii="仿宋_GB2312" w:hAnsi="仿宋_GB2312" w:eastAsia="仿宋_GB2312" w:cs="仿宋_GB2312"/>
          <w:sz w:val="32"/>
          <w:szCs w:val="32"/>
          <w:u w:val="none" w:color="auto"/>
          <w:lang w:eastAsia="zh-CN"/>
        </w:rPr>
      </w:pPr>
      <w:r>
        <w:rPr>
          <w:rFonts w:hint="eastAsia" w:ascii="仿宋_GB2312" w:hAnsi="仿宋_GB2312" w:eastAsia="仿宋_GB2312" w:cs="仿宋_GB2312"/>
          <w:kern w:val="0"/>
          <w:sz w:val="32"/>
          <w:szCs w:val="32"/>
          <w:u w:val="none" w:color="auto"/>
        </w:rPr>
        <w:t>1．</w:t>
      </w:r>
      <w:r>
        <w:rPr>
          <w:rFonts w:hint="eastAsia" w:ascii="仿宋_GB2312" w:hAnsi="仿宋_GB2312" w:eastAsia="仿宋_GB2312" w:cs="仿宋_GB2312"/>
          <w:kern w:val="0"/>
          <w:sz w:val="32"/>
          <w:szCs w:val="32"/>
          <w:u w:val="none" w:color="auto"/>
          <w:lang w:eastAsia="zh-CN"/>
        </w:rPr>
        <w:t>城乡社区管理事务</w:t>
      </w:r>
      <w:r>
        <w:rPr>
          <w:rFonts w:hint="eastAsia" w:ascii="仿宋_GB2312" w:hAnsi="仿宋_GB2312" w:eastAsia="仿宋_GB2312" w:cs="仿宋_GB2312"/>
          <w:kern w:val="0"/>
          <w:sz w:val="32"/>
          <w:szCs w:val="32"/>
          <w:u w:val="none" w:color="auto"/>
        </w:rPr>
        <w:t>（款）</w:t>
      </w:r>
      <w:r>
        <w:rPr>
          <w:rFonts w:hint="eastAsia" w:ascii="仿宋_GB2312" w:hAnsi="仿宋_GB2312" w:eastAsia="仿宋_GB2312" w:cs="仿宋_GB2312"/>
          <w:kern w:val="0"/>
          <w:sz w:val="32"/>
          <w:szCs w:val="32"/>
          <w:u w:val="none" w:color="auto"/>
          <w:lang w:eastAsia="zh-CN"/>
        </w:rPr>
        <w:t>其他城乡社区管理事务支出</w:t>
      </w:r>
      <w:r>
        <w:rPr>
          <w:rFonts w:hint="eastAsia" w:ascii="仿宋_GB2312" w:hAnsi="仿宋_GB2312" w:eastAsia="仿宋_GB2312" w:cs="仿宋_GB2312"/>
          <w:kern w:val="0"/>
          <w:sz w:val="32"/>
          <w:szCs w:val="32"/>
          <w:u w:val="none" w:color="auto"/>
        </w:rPr>
        <w:t>（项）。年初预算</w:t>
      </w:r>
      <w:r>
        <w:rPr>
          <w:rFonts w:hint="eastAsia" w:ascii="仿宋_GB2312" w:hAnsi="仿宋_GB2312" w:eastAsia="仿宋_GB2312" w:cs="仿宋_GB2312"/>
          <w:kern w:val="0"/>
          <w:sz w:val="32"/>
          <w:szCs w:val="32"/>
          <w:u w:val="none" w:color="auto"/>
          <w:lang w:val="en-US" w:eastAsia="zh-CN"/>
        </w:rPr>
        <w:t>30</w:t>
      </w:r>
      <w:r>
        <w:rPr>
          <w:rFonts w:hint="eastAsia" w:ascii="仿宋_GB2312" w:hAnsi="仿宋_GB2312" w:eastAsia="仿宋_GB2312" w:cs="仿宋_GB2312"/>
          <w:kern w:val="0"/>
          <w:sz w:val="32"/>
          <w:szCs w:val="32"/>
          <w:u w:val="none" w:color="auto"/>
        </w:rPr>
        <w:t>万元，支出决算</w:t>
      </w:r>
      <w:r>
        <w:rPr>
          <w:rFonts w:hint="eastAsia" w:ascii="仿宋_GB2312" w:hAnsi="仿宋_GB2312" w:eastAsia="仿宋_GB2312" w:cs="仿宋_GB2312"/>
          <w:kern w:val="0"/>
          <w:sz w:val="32"/>
          <w:szCs w:val="32"/>
          <w:u w:val="none" w:color="auto"/>
          <w:lang w:val="en-US" w:eastAsia="zh-CN"/>
        </w:rPr>
        <w:t>76.87</w:t>
      </w:r>
      <w:r>
        <w:rPr>
          <w:rFonts w:hint="eastAsia" w:ascii="仿宋_GB2312" w:hAnsi="仿宋_GB2312" w:eastAsia="仿宋_GB2312" w:cs="仿宋_GB2312"/>
          <w:kern w:val="0"/>
          <w:sz w:val="32"/>
          <w:szCs w:val="32"/>
          <w:u w:val="none" w:color="auto"/>
        </w:rPr>
        <w:t>万元，完成年初预算的</w:t>
      </w:r>
      <w:r>
        <w:rPr>
          <w:rFonts w:hint="eastAsia" w:ascii="仿宋_GB2312" w:hAnsi="仿宋_GB2312" w:eastAsia="仿宋_GB2312" w:cs="仿宋_GB2312"/>
          <w:kern w:val="0"/>
          <w:sz w:val="32"/>
          <w:szCs w:val="32"/>
          <w:u w:val="none" w:color="auto"/>
          <w:lang w:val="en-US" w:eastAsia="zh-CN"/>
        </w:rPr>
        <w:t>256.2</w:t>
      </w:r>
      <w:r>
        <w:rPr>
          <w:rFonts w:hint="eastAsia" w:ascii="仿宋_GB2312" w:hAnsi="仿宋_GB2312" w:eastAsia="仿宋_GB2312" w:cs="仿宋_GB2312"/>
          <w:kern w:val="0"/>
          <w:sz w:val="32"/>
          <w:szCs w:val="32"/>
          <w:u w:val="none" w:color="auto"/>
        </w:rPr>
        <w:t>%。决算数与年初预算数的差异原因：</w:t>
      </w:r>
      <w:r>
        <w:rPr>
          <w:rFonts w:hint="eastAsia" w:ascii="仿宋_GB2312" w:hAnsi="仿宋_GB2312" w:eastAsia="仿宋_GB2312" w:cs="仿宋_GB2312"/>
          <w:kern w:val="0"/>
          <w:sz w:val="32"/>
          <w:szCs w:val="32"/>
          <w:u w:val="none" w:color="auto"/>
          <w:lang w:eastAsia="zh-CN"/>
        </w:rPr>
        <w:t>增加了上年社区党组织服务群众专项经费的支出。</w:t>
      </w:r>
    </w:p>
    <w:p w14:paraId="2BA7FC31">
      <w:pPr>
        <w:keepNext w:val="0"/>
        <w:keepLines w:val="0"/>
        <w:pageBreakBefore w:val="0"/>
        <w:widowControl/>
        <w:kinsoku/>
        <w:wordWrap/>
        <w:overflowPunct/>
        <w:topLinePunct w:val="0"/>
        <w:autoSpaceDE/>
        <w:autoSpaceDN/>
        <w:bidi w:val="0"/>
        <w:adjustRightInd/>
        <w:snapToGrid/>
        <w:spacing w:line="560" w:lineRule="exact"/>
        <w:ind w:left="0" w:leftChars="0" w:firstLine="643" w:firstLineChars="200"/>
        <w:jc w:val="left"/>
        <w:textAlignment w:val="auto"/>
        <w:rPr>
          <w:rFonts w:hint="eastAsia" w:ascii="仿宋_GB2312" w:hAnsi="仿宋_GB2312" w:eastAsia="仿宋_GB2312" w:cs="仿宋_GB2312"/>
          <w:b/>
          <w:bCs/>
          <w:kern w:val="0"/>
          <w:sz w:val="32"/>
          <w:szCs w:val="32"/>
          <w:u w:val="none" w:color="auto"/>
        </w:rPr>
      </w:pPr>
      <w:r>
        <w:rPr>
          <w:rFonts w:hint="eastAsia" w:ascii="仿宋_GB2312" w:hAnsi="仿宋_GB2312" w:eastAsia="仿宋_GB2312" w:cs="仿宋_GB2312"/>
          <w:b/>
          <w:bCs/>
          <w:kern w:val="0"/>
          <w:sz w:val="32"/>
          <w:szCs w:val="32"/>
          <w:u w:val="none" w:color="auto"/>
        </w:rPr>
        <w:t>（</w:t>
      </w:r>
      <w:r>
        <w:rPr>
          <w:rFonts w:hint="eastAsia" w:ascii="仿宋_GB2312" w:hAnsi="仿宋_GB2312" w:eastAsia="仿宋_GB2312" w:cs="仿宋_GB2312"/>
          <w:b/>
          <w:bCs/>
          <w:kern w:val="0"/>
          <w:sz w:val="32"/>
          <w:szCs w:val="32"/>
          <w:u w:val="none" w:color="auto"/>
          <w:lang w:eastAsia="zh-CN"/>
        </w:rPr>
        <w:t>六</w:t>
      </w:r>
      <w:r>
        <w:rPr>
          <w:rFonts w:hint="eastAsia" w:ascii="仿宋_GB2312" w:hAnsi="仿宋_GB2312" w:eastAsia="仿宋_GB2312" w:cs="仿宋_GB2312"/>
          <w:b/>
          <w:bCs/>
          <w:kern w:val="0"/>
          <w:sz w:val="32"/>
          <w:szCs w:val="32"/>
          <w:u w:val="none" w:color="auto"/>
        </w:rPr>
        <w:t>）</w:t>
      </w:r>
      <w:r>
        <w:rPr>
          <w:rFonts w:hint="eastAsia" w:ascii="仿宋_GB2312" w:hAnsi="仿宋_GB2312" w:eastAsia="仿宋_GB2312" w:cs="仿宋_GB2312"/>
          <w:b/>
          <w:bCs/>
          <w:kern w:val="0"/>
          <w:sz w:val="32"/>
          <w:szCs w:val="32"/>
          <w:u w:val="none" w:color="auto"/>
          <w:lang w:eastAsia="zh-CN"/>
        </w:rPr>
        <w:t>农林水</w:t>
      </w:r>
      <w:r>
        <w:rPr>
          <w:rFonts w:hint="eastAsia" w:ascii="仿宋_GB2312" w:hAnsi="仿宋_GB2312" w:eastAsia="仿宋_GB2312" w:cs="仿宋_GB2312"/>
          <w:b/>
          <w:bCs/>
          <w:kern w:val="0"/>
          <w:sz w:val="32"/>
          <w:szCs w:val="32"/>
          <w:u w:val="none" w:color="auto"/>
        </w:rPr>
        <w:t>（类）</w:t>
      </w:r>
    </w:p>
    <w:p w14:paraId="2EF76409">
      <w:pPr>
        <w:keepNext w:val="0"/>
        <w:keepLines w:val="0"/>
        <w:pageBreakBefore w:val="0"/>
        <w:widowControl/>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u w:val="none" w:color="auto"/>
        </w:rPr>
      </w:pPr>
      <w:r>
        <w:rPr>
          <w:rFonts w:hint="eastAsia" w:ascii="仿宋_GB2312" w:hAnsi="仿宋_GB2312" w:eastAsia="仿宋_GB2312" w:cs="仿宋_GB2312"/>
          <w:kern w:val="0"/>
          <w:sz w:val="32"/>
          <w:szCs w:val="32"/>
          <w:u w:val="none" w:color="auto"/>
          <w:lang w:eastAsia="zh-CN"/>
        </w:rPr>
        <w:t>农林水</w:t>
      </w:r>
      <w:r>
        <w:rPr>
          <w:rFonts w:hint="eastAsia" w:ascii="仿宋_GB2312" w:hAnsi="仿宋_GB2312" w:eastAsia="仿宋_GB2312" w:cs="仿宋_GB2312"/>
          <w:kern w:val="0"/>
          <w:sz w:val="32"/>
          <w:szCs w:val="32"/>
          <w:u w:val="none" w:color="auto"/>
        </w:rPr>
        <w:t>类决算数为</w:t>
      </w:r>
      <w:r>
        <w:rPr>
          <w:rFonts w:hint="eastAsia" w:ascii="仿宋_GB2312" w:hAnsi="仿宋_GB2312" w:eastAsia="仿宋_GB2312" w:cs="仿宋_GB2312"/>
          <w:kern w:val="0"/>
          <w:sz w:val="32"/>
          <w:szCs w:val="32"/>
          <w:u w:val="none" w:color="auto"/>
          <w:lang w:val="en-US" w:eastAsia="zh-CN"/>
        </w:rPr>
        <w:t>40.3</w:t>
      </w:r>
      <w:r>
        <w:rPr>
          <w:rFonts w:hint="eastAsia" w:ascii="仿宋_GB2312" w:hAnsi="仿宋_GB2312" w:eastAsia="仿宋_GB2312" w:cs="仿宋_GB2312"/>
          <w:kern w:val="0"/>
          <w:sz w:val="32"/>
          <w:szCs w:val="32"/>
          <w:u w:val="none" w:color="auto"/>
        </w:rPr>
        <w:t>万元，与年初预算相比</w:t>
      </w:r>
      <w:r>
        <w:rPr>
          <w:rFonts w:hint="eastAsia" w:ascii="仿宋_GB2312" w:hAnsi="仿宋_GB2312" w:eastAsia="仿宋_GB2312" w:cs="仿宋_GB2312"/>
          <w:kern w:val="0"/>
          <w:sz w:val="32"/>
          <w:szCs w:val="32"/>
          <w:u w:val="none" w:color="auto"/>
          <w:lang w:eastAsia="zh-CN"/>
        </w:rPr>
        <w:t>减少</w:t>
      </w:r>
      <w:r>
        <w:rPr>
          <w:rFonts w:hint="eastAsia" w:ascii="仿宋_GB2312" w:hAnsi="仿宋_GB2312" w:eastAsia="仿宋_GB2312" w:cs="仿宋_GB2312"/>
          <w:kern w:val="0"/>
          <w:sz w:val="32"/>
          <w:szCs w:val="32"/>
          <w:u w:val="none" w:color="auto"/>
          <w:lang w:val="en-US" w:eastAsia="zh-CN"/>
        </w:rPr>
        <w:t>28.07</w:t>
      </w:r>
      <w:r>
        <w:rPr>
          <w:rFonts w:hint="eastAsia" w:ascii="仿宋_GB2312" w:hAnsi="仿宋_GB2312" w:eastAsia="仿宋_GB2312" w:cs="仿宋_GB2312"/>
          <w:kern w:val="0"/>
          <w:sz w:val="32"/>
          <w:szCs w:val="32"/>
          <w:u w:val="none" w:color="auto"/>
        </w:rPr>
        <w:t>万元。其中：</w:t>
      </w:r>
    </w:p>
    <w:p w14:paraId="7BA1C9C9">
      <w:pPr>
        <w:pStyle w:val="19"/>
        <w:keepNext w:val="0"/>
        <w:keepLines w:val="0"/>
        <w:pageBreakBefore w:val="0"/>
        <w:numPr>
          <w:ilvl w:val="0"/>
          <w:numId w:val="4"/>
        </w:numPr>
        <w:kinsoku/>
        <w:wordWrap/>
        <w:overflowPunct/>
        <w:topLinePunct w:val="0"/>
        <w:autoSpaceDE/>
        <w:autoSpaceDN/>
        <w:bidi w:val="0"/>
        <w:adjustRightInd/>
        <w:snapToGrid/>
        <w:spacing w:beforeLines="0" w:after="0" w:afterLines="0" w:line="560" w:lineRule="exact"/>
        <w:ind w:left="0" w:leftChars="0" w:firstLine="640" w:firstLineChars="200"/>
        <w:textAlignment w:val="auto"/>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kern w:val="0"/>
          <w:sz w:val="32"/>
          <w:szCs w:val="32"/>
          <w:u w:val="none" w:color="auto"/>
          <w:lang w:eastAsia="zh-CN"/>
        </w:rPr>
        <w:t>水利</w:t>
      </w:r>
      <w:r>
        <w:rPr>
          <w:rFonts w:hint="eastAsia" w:ascii="仿宋_GB2312" w:hAnsi="仿宋_GB2312" w:eastAsia="仿宋_GB2312" w:cs="仿宋_GB2312"/>
          <w:kern w:val="0"/>
          <w:sz w:val="32"/>
          <w:szCs w:val="32"/>
          <w:u w:val="none" w:color="auto"/>
        </w:rPr>
        <w:t>（款）</w:t>
      </w:r>
      <w:r>
        <w:rPr>
          <w:rFonts w:hint="eastAsia" w:ascii="仿宋_GB2312" w:hAnsi="仿宋_GB2312" w:eastAsia="仿宋_GB2312" w:cs="仿宋_GB2312"/>
          <w:kern w:val="0"/>
          <w:sz w:val="32"/>
          <w:szCs w:val="32"/>
          <w:u w:val="none" w:color="auto"/>
          <w:lang w:eastAsia="zh-CN"/>
        </w:rPr>
        <w:t>其他水利支出</w:t>
      </w:r>
      <w:r>
        <w:rPr>
          <w:rFonts w:hint="eastAsia" w:ascii="仿宋_GB2312" w:hAnsi="仿宋_GB2312" w:eastAsia="仿宋_GB2312" w:cs="仿宋_GB2312"/>
          <w:kern w:val="0"/>
          <w:sz w:val="32"/>
          <w:szCs w:val="32"/>
          <w:u w:val="none" w:color="auto"/>
        </w:rPr>
        <w:t>（项）。年初预算</w:t>
      </w:r>
      <w:r>
        <w:rPr>
          <w:rFonts w:hint="eastAsia" w:ascii="仿宋_GB2312" w:hAnsi="仿宋_GB2312" w:eastAsia="仿宋_GB2312" w:cs="仿宋_GB2312"/>
          <w:kern w:val="0"/>
          <w:sz w:val="32"/>
          <w:szCs w:val="32"/>
          <w:u w:val="none" w:color="auto"/>
          <w:lang w:val="en-US" w:eastAsia="zh-CN"/>
        </w:rPr>
        <w:t>0</w:t>
      </w:r>
      <w:r>
        <w:rPr>
          <w:rFonts w:hint="eastAsia" w:ascii="仿宋_GB2312" w:hAnsi="仿宋_GB2312" w:eastAsia="仿宋_GB2312" w:cs="仿宋_GB2312"/>
          <w:kern w:val="0"/>
          <w:sz w:val="32"/>
          <w:szCs w:val="32"/>
          <w:u w:val="none" w:color="auto"/>
        </w:rPr>
        <w:t>万元，支出决算</w:t>
      </w:r>
      <w:r>
        <w:rPr>
          <w:rFonts w:hint="eastAsia" w:ascii="仿宋_GB2312" w:hAnsi="仿宋_GB2312" w:eastAsia="仿宋_GB2312" w:cs="仿宋_GB2312"/>
          <w:kern w:val="0"/>
          <w:sz w:val="32"/>
          <w:szCs w:val="32"/>
          <w:u w:val="none" w:color="auto"/>
          <w:lang w:val="en-US" w:eastAsia="zh-CN"/>
        </w:rPr>
        <w:t>5.94</w:t>
      </w:r>
      <w:r>
        <w:rPr>
          <w:rFonts w:hint="eastAsia" w:ascii="仿宋_GB2312" w:hAnsi="仿宋_GB2312" w:eastAsia="仿宋_GB2312" w:cs="仿宋_GB2312"/>
          <w:kern w:val="0"/>
          <w:sz w:val="32"/>
          <w:szCs w:val="32"/>
          <w:u w:val="none" w:color="auto"/>
        </w:rPr>
        <w:t>万元，完成年初预算的</w:t>
      </w:r>
      <w:r>
        <w:rPr>
          <w:rFonts w:hint="eastAsia" w:ascii="仿宋_GB2312" w:hAnsi="仿宋_GB2312" w:eastAsia="仿宋_GB2312" w:cs="仿宋_GB2312"/>
          <w:kern w:val="0"/>
          <w:sz w:val="32"/>
          <w:szCs w:val="32"/>
          <w:u w:val="none" w:color="auto"/>
          <w:lang w:val="en-US" w:eastAsia="zh-CN"/>
        </w:rPr>
        <w:t>0</w:t>
      </w:r>
      <w:r>
        <w:rPr>
          <w:rFonts w:hint="eastAsia" w:ascii="仿宋_GB2312" w:hAnsi="仿宋_GB2312" w:eastAsia="仿宋_GB2312" w:cs="仿宋_GB2312"/>
          <w:kern w:val="0"/>
          <w:sz w:val="32"/>
          <w:szCs w:val="32"/>
          <w:u w:val="none" w:color="auto"/>
        </w:rPr>
        <w:t>%。决算数与年初预算数的差异原因：</w:t>
      </w:r>
      <w:r>
        <w:rPr>
          <w:rFonts w:hint="eastAsia" w:ascii="仿宋_GB2312" w:hAnsi="仿宋_GB2312" w:eastAsia="仿宋_GB2312" w:cs="仿宋_GB2312"/>
          <w:kern w:val="0"/>
          <w:sz w:val="32"/>
          <w:szCs w:val="32"/>
          <w:u w:val="none" w:color="auto"/>
          <w:lang w:val="en-US" w:eastAsia="zh-CN"/>
        </w:rPr>
        <w:t>2024年新增郑家沟水毁修复项目。</w:t>
      </w:r>
    </w:p>
    <w:p w14:paraId="0394E4E6">
      <w:pPr>
        <w:pStyle w:val="19"/>
        <w:keepNext w:val="0"/>
        <w:keepLines w:val="0"/>
        <w:pageBreakBefore w:val="0"/>
        <w:numPr>
          <w:ilvl w:val="0"/>
          <w:numId w:val="4"/>
        </w:numPr>
        <w:kinsoku/>
        <w:wordWrap/>
        <w:overflowPunct/>
        <w:topLinePunct w:val="0"/>
        <w:autoSpaceDE/>
        <w:autoSpaceDN/>
        <w:bidi w:val="0"/>
        <w:adjustRightInd/>
        <w:snapToGrid/>
        <w:spacing w:beforeLines="0" w:after="0" w:afterLines="0" w:line="560" w:lineRule="exact"/>
        <w:ind w:left="0" w:leftChars="0" w:firstLine="640" w:firstLineChars="200"/>
        <w:textAlignment w:val="auto"/>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kern w:val="0"/>
          <w:sz w:val="32"/>
          <w:szCs w:val="32"/>
          <w:u w:val="none" w:color="auto"/>
          <w:lang w:eastAsia="zh-CN"/>
        </w:rPr>
        <w:t>农村综合改革</w:t>
      </w:r>
      <w:r>
        <w:rPr>
          <w:rFonts w:hint="eastAsia" w:ascii="仿宋_GB2312" w:hAnsi="仿宋_GB2312" w:eastAsia="仿宋_GB2312" w:cs="仿宋_GB2312"/>
          <w:kern w:val="0"/>
          <w:sz w:val="32"/>
          <w:szCs w:val="32"/>
          <w:u w:val="none" w:color="auto"/>
        </w:rPr>
        <w:t>（款）</w:t>
      </w:r>
      <w:r>
        <w:rPr>
          <w:rFonts w:hint="eastAsia" w:ascii="仿宋_GB2312" w:hAnsi="仿宋_GB2312" w:eastAsia="仿宋_GB2312" w:cs="仿宋_GB2312"/>
          <w:kern w:val="0"/>
          <w:sz w:val="32"/>
          <w:szCs w:val="32"/>
          <w:u w:val="none" w:color="auto"/>
          <w:lang w:eastAsia="zh-CN"/>
        </w:rPr>
        <w:t>对村民委员会和村党支部的补助</w:t>
      </w:r>
      <w:r>
        <w:rPr>
          <w:rFonts w:hint="eastAsia" w:ascii="仿宋_GB2312" w:hAnsi="仿宋_GB2312" w:eastAsia="仿宋_GB2312" w:cs="仿宋_GB2312"/>
          <w:kern w:val="0"/>
          <w:sz w:val="32"/>
          <w:szCs w:val="32"/>
          <w:u w:val="none" w:color="auto"/>
        </w:rPr>
        <w:t>（项）。年初预算</w:t>
      </w:r>
      <w:r>
        <w:rPr>
          <w:rFonts w:hint="eastAsia" w:ascii="仿宋_GB2312" w:hAnsi="仿宋_GB2312" w:eastAsia="仿宋_GB2312" w:cs="仿宋_GB2312"/>
          <w:kern w:val="0"/>
          <w:sz w:val="32"/>
          <w:szCs w:val="32"/>
          <w:u w:val="none" w:color="auto"/>
          <w:lang w:val="en-US" w:eastAsia="zh-CN"/>
        </w:rPr>
        <w:t>47.57</w:t>
      </w:r>
      <w:r>
        <w:rPr>
          <w:rFonts w:hint="eastAsia" w:ascii="仿宋_GB2312" w:hAnsi="仿宋_GB2312" w:eastAsia="仿宋_GB2312" w:cs="仿宋_GB2312"/>
          <w:kern w:val="0"/>
          <w:sz w:val="32"/>
          <w:szCs w:val="32"/>
          <w:u w:val="none" w:color="auto"/>
        </w:rPr>
        <w:t>万元，支出决算</w:t>
      </w:r>
      <w:r>
        <w:rPr>
          <w:rFonts w:hint="eastAsia" w:ascii="仿宋_GB2312" w:hAnsi="仿宋_GB2312" w:eastAsia="仿宋_GB2312" w:cs="仿宋_GB2312"/>
          <w:kern w:val="0"/>
          <w:sz w:val="32"/>
          <w:szCs w:val="32"/>
          <w:u w:val="none" w:color="auto"/>
          <w:lang w:val="en-US" w:eastAsia="zh-CN"/>
        </w:rPr>
        <w:t>34.36</w:t>
      </w:r>
      <w:r>
        <w:rPr>
          <w:rFonts w:hint="eastAsia" w:ascii="仿宋_GB2312" w:hAnsi="仿宋_GB2312" w:eastAsia="仿宋_GB2312" w:cs="仿宋_GB2312"/>
          <w:kern w:val="0"/>
          <w:sz w:val="32"/>
          <w:szCs w:val="32"/>
          <w:u w:val="none" w:color="auto"/>
        </w:rPr>
        <w:t>万元，完成年初预算的</w:t>
      </w:r>
      <w:r>
        <w:rPr>
          <w:rFonts w:hint="eastAsia" w:ascii="仿宋_GB2312" w:hAnsi="仿宋_GB2312" w:eastAsia="仿宋_GB2312" w:cs="仿宋_GB2312"/>
          <w:kern w:val="0"/>
          <w:sz w:val="32"/>
          <w:szCs w:val="32"/>
          <w:u w:val="none" w:color="auto"/>
          <w:lang w:val="en-US" w:eastAsia="zh-CN"/>
        </w:rPr>
        <w:t>72.2</w:t>
      </w:r>
      <w:r>
        <w:rPr>
          <w:rFonts w:hint="eastAsia" w:ascii="仿宋_GB2312" w:hAnsi="仿宋_GB2312" w:eastAsia="仿宋_GB2312" w:cs="仿宋_GB2312"/>
          <w:kern w:val="0"/>
          <w:sz w:val="32"/>
          <w:szCs w:val="32"/>
          <w:u w:val="none" w:color="auto"/>
        </w:rPr>
        <w:t>%。决算数与年初预算数的差异原因：</w:t>
      </w:r>
      <w:r>
        <w:rPr>
          <w:rFonts w:hint="eastAsia" w:ascii="仿宋_GB2312" w:hAnsi="仿宋_GB2312" w:eastAsia="仿宋_GB2312" w:cs="仿宋_GB2312"/>
          <w:kern w:val="0"/>
          <w:sz w:val="32"/>
          <w:szCs w:val="32"/>
          <w:u w:val="none" w:color="auto"/>
          <w:lang w:val="en-US" w:eastAsia="zh-CN"/>
        </w:rPr>
        <w:t>2024年村干部工资发至10月份，村级办公经费2024年只拨付50%（4.15万元）</w:t>
      </w:r>
      <w:r>
        <w:rPr>
          <w:rFonts w:hint="eastAsia" w:ascii="仿宋_GB2312" w:hAnsi="仿宋_GB2312" w:eastAsia="仿宋_GB2312" w:cs="仿宋_GB2312"/>
          <w:kern w:val="0"/>
          <w:sz w:val="32"/>
          <w:szCs w:val="32"/>
          <w:u w:val="none" w:color="auto"/>
        </w:rPr>
        <w:t>。</w:t>
      </w:r>
    </w:p>
    <w:p w14:paraId="4C5C3217">
      <w:pPr>
        <w:pStyle w:val="19"/>
        <w:keepNext w:val="0"/>
        <w:keepLines w:val="0"/>
        <w:pageBreakBefore w:val="0"/>
        <w:numPr>
          <w:ilvl w:val="0"/>
          <w:numId w:val="4"/>
        </w:numPr>
        <w:kinsoku/>
        <w:wordWrap/>
        <w:overflowPunct/>
        <w:topLinePunct w:val="0"/>
        <w:autoSpaceDE/>
        <w:autoSpaceDN/>
        <w:bidi w:val="0"/>
        <w:adjustRightInd/>
        <w:snapToGrid/>
        <w:spacing w:beforeLines="0" w:after="0" w:afterLines="0" w:line="560" w:lineRule="exact"/>
        <w:ind w:left="0" w:leftChars="0" w:firstLine="640" w:firstLineChars="200"/>
        <w:textAlignment w:val="auto"/>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kern w:val="0"/>
          <w:sz w:val="32"/>
          <w:szCs w:val="32"/>
          <w:u w:val="none" w:color="auto"/>
          <w:lang w:eastAsia="zh-CN"/>
        </w:rPr>
        <w:t>农村综合改革</w:t>
      </w:r>
      <w:r>
        <w:rPr>
          <w:rFonts w:hint="eastAsia" w:ascii="仿宋_GB2312" w:hAnsi="仿宋_GB2312" w:eastAsia="仿宋_GB2312" w:cs="仿宋_GB2312"/>
          <w:kern w:val="0"/>
          <w:sz w:val="32"/>
          <w:szCs w:val="32"/>
          <w:u w:val="none" w:color="auto"/>
        </w:rPr>
        <w:t>（款）</w:t>
      </w:r>
      <w:r>
        <w:rPr>
          <w:rFonts w:hint="eastAsia" w:ascii="仿宋_GB2312" w:hAnsi="仿宋_GB2312" w:eastAsia="仿宋_GB2312" w:cs="仿宋_GB2312"/>
          <w:kern w:val="0"/>
          <w:sz w:val="32"/>
          <w:szCs w:val="32"/>
          <w:u w:val="none" w:color="auto"/>
          <w:lang w:eastAsia="zh-CN"/>
        </w:rPr>
        <w:t>对村集体经济组织补助</w:t>
      </w:r>
      <w:r>
        <w:rPr>
          <w:rFonts w:hint="eastAsia" w:ascii="仿宋_GB2312" w:hAnsi="仿宋_GB2312" w:eastAsia="仿宋_GB2312" w:cs="仿宋_GB2312"/>
          <w:kern w:val="0"/>
          <w:sz w:val="32"/>
          <w:szCs w:val="32"/>
          <w:u w:val="none" w:color="auto"/>
        </w:rPr>
        <w:t>（项）。年初预算</w:t>
      </w:r>
      <w:r>
        <w:rPr>
          <w:rFonts w:hint="eastAsia" w:ascii="仿宋_GB2312" w:hAnsi="仿宋_GB2312" w:eastAsia="仿宋_GB2312" w:cs="仿宋_GB2312"/>
          <w:kern w:val="0"/>
          <w:sz w:val="32"/>
          <w:szCs w:val="32"/>
          <w:u w:val="none" w:color="auto"/>
          <w:lang w:val="en-US" w:eastAsia="zh-CN"/>
        </w:rPr>
        <w:t>20.8</w:t>
      </w:r>
      <w:r>
        <w:rPr>
          <w:rFonts w:hint="eastAsia" w:ascii="仿宋_GB2312" w:hAnsi="仿宋_GB2312" w:eastAsia="仿宋_GB2312" w:cs="仿宋_GB2312"/>
          <w:kern w:val="0"/>
          <w:sz w:val="32"/>
          <w:szCs w:val="32"/>
          <w:u w:val="none" w:color="auto"/>
        </w:rPr>
        <w:t>万元，支出决算</w:t>
      </w:r>
      <w:r>
        <w:rPr>
          <w:rFonts w:hint="eastAsia" w:ascii="仿宋_GB2312" w:hAnsi="仿宋_GB2312" w:eastAsia="仿宋_GB2312" w:cs="仿宋_GB2312"/>
          <w:kern w:val="0"/>
          <w:sz w:val="32"/>
          <w:szCs w:val="32"/>
          <w:u w:val="none" w:color="auto"/>
          <w:lang w:val="en-US" w:eastAsia="zh-CN"/>
        </w:rPr>
        <w:t>0</w:t>
      </w:r>
      <w:r>
        <w:rPr>
          <w:rFonts w:hint="eastAsia" w:ascii="仿宋_GB2312" w:hAnsi="仿宋_GB2312" w:eastAsia="仿宋_GB2312" w:cs="仿宋_GB2312"/>
          <w:kern w:val="0"/>
          <w:sz w:val="32"/>
          <w:szCs w:val="32"/>
          <w:u w:val="none" w:color="auto"/>
        </w:rPr>
        <w:t>万元，完成年初预算的</w:t>
      </w:r>
      <w:r>
        <w:rPr>
          <w:rFonts w:hint="eastAsia" w:ascii="仿宋_GB2312" w:hAnsi="仿宋_GB2312" w:eastAsia="仿宋_GB2312" w:cs="仿宋_GB2312"/>
          <w:kern w:val="0"/>
          <w:sz w:val="32"/>
          <w:szCs w:val="32"/>
          <w:u w:val="none" w:color="auto"/>
          <w:lang w:val="en-US" w:eastAsia="zh-CN"/>
        </w:rPr>
        <w:t>0</w:t>
      </w:r>
      <w:r>
        <w:rPr>
          <w:rFonts w:hint="eastAsia" w:ascii="仿宋_GB2312" w:hAnsi="仿宋_GB2312" w:eastAsia="仿宋_GB2312" w:cs="仿宋_GB2312"/>
          <w:kern w:val="0"/>
          <w:sz w:val="32"/>
          <w:szCs w:val="32"/>
          <w:u w:val="none" w:color="auto"/>
        </w:rPr>
        <w:t>%。决算数与年初预算数的差异原因：</w:t>
      </w:r>
      <w:r>
        <w:rPr>
          <w:rFonts w:hint="eastAsia" w:ascii="仿宋_GB2312" w:hAnsi="仿宋_GB2312" w:eastAsia="仿宋_GB2312" w:cs="仿宋_GB2312"/>
          <w:kern w:val="0"/>
          <w:sz w:val="32"/>
          <w:szCs w:val="32"/>
          <w:u w:val="none" w:color="auto"/>
          <w:lang w:eastAsia="zh-CN"/>
        </w:rPr>
        <w:t>河西街道办事处回民村肉牛养殖项目没有全部实施，</w:t>
      </w:r>
      <w:r>
        <w:rPr>
          <w:rFonts w:hint="eastAsia" w:ascii="仿宋_GB2312" w:hAnsi="仿宋_GB2312" w:eastAsia="仿宋_GB2312" w:cs="仿宋_GB2312"/>
          <w:kern w:val="0"/>
          <w:sz w:val="32"/>
          <w:szCs w:val="32"/>
          <w:u w:val="none" w:color="auto"/>
          <w:lang w:val="en-US" w:eastAsia="zh-CN"/>
        </w:rPr>
        <w:t>20.8万元预算被财政盘活</w:t>
      </w:r>
      <w:r>
        <w:rPr>
          <w:rFonts w:hint="eastAsia" w:ascii="仿宋_GB2312" w:hAnsi="仿宋_GB2312" w:eastAsia="仿宋_GB2312" w:cs="仿宋_GB2312"/>
          <w:kern w:val="0"/>
          <w:sz w:val="32"/>
          <w:szCs w:val="32"/>
          <w:u w:val="none" w:color="auto"/>
        </w:rPr>
        <w:t>。</w:t>
      </w:r>
    </w:p>
    <w:p w14:paraId="40611CE5">
      <w:pPr>
        <w:keepNext w:val="0"/>
        <w:keepLines w:val="0"/>
        <w:pageBreakBefore w:val="0"/>
        <w:widowControl/>
        <w:kinsoku/>
        <w:wordWrap/>
        <w:overflowPunct/>
        <w:topLinePunct w:val="0"/>
        <w:autoSpaceDE/>
        <w:autoSpaceDN/>
        <w:bidi w:val="0"/>
        <w:adjustRightInd/>
        <w:snapToGrid/>
        <w:spacing w:line="560" w:lineRule="exact"/>
        <w:ind w:left="0" w:leftChars="0" w:firstLine="643" w:firstLineChars="200"/>
        <w:jc w:val="left"/>
        <w:textAlignment w:val="auto"/>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bCs/>
          <w:kern w:val="0"/>
          <w:sz w:val="32"/>
          <w:szCs w:val="32"/>
          <w:u w:val="none" w:color="auto"/>
        </w:rPr>
        <w:t>（</w:t>
      </w:r>
      <w:r>
        <w:rPr>
          <w:rFonts w:hint="eastAsia" w:ascii="仿宋_GB2312" w:hAnsi="仿宋_GB2312" w:eastAsia="仿宋_GB2312" w:cs="仿宋_GB2312"/>
          <w:b/>
          <w:bCs/>
          <w:kern w:val="0"/>
          <w:sz w:val="32"/>
          <w:szCs w:val="32"/>
          <w:u w:val="none" w:color="auto"/>
          <w:lang w:eastAsia="zh-CN"/>
        </w:rPr>
        <w:t>七</w:t>
      </w:r>
      <w:r>
        <w:rPr>
          <w:rFonts w:hint="eastAsia" w:ascii="仿宋_GB2312" w:hAnsi="仿宋_GB2312" w:eastAsia="仿宋_GB2312" w:cs="仿宋_GB2312"/>
          <w:b/>
          <w:bCs/>
          <w:kern w:val="0"/>
          <w:sz w:val="32"/>
          <w:szCs w:val="32"/>
          <w:u w:val="none" w:color="auto"/>
        </w:rPr>
        <w:t>）住房保障支出（类）</w:t>
      </w:r>
    </w:p>
    <w:p w14:paraId="0E65D594">
      <w:pPr>
        <w:keepNext w:val="0"/>
        <w:keepLines w:val="0"/>
        <w:pageBreakBefore w:val="0"/>
        <w:widowControl/>
        <w:kinsoku/>
        <w:wordWrap/>
        <w:overflowPunct/>
        <w:topLinePunct w:val="0"/>
        <w:autoSpaceDE/>
        <w:autoSpaceDN/>
        <w:bidi w:val="0"/>
        <w:adjustRightInd/>
        <w:snapToGrid/>
        <w:spacing w:line="560" w:lineRule="exact"/>
        <w:ind w:left="319" w:leftChars="152" w:firstLine="320" w:firstLineChars="100"/>
        <w:textAlignment w:val="auto"/>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kern w:val="0"/>
          <w:sz w:val="32"/>
          <w:szCs w:val="32"/>
          <w:u w:val="none" w:color="auto"/>
        </w:rPr>
        <w:t xml:space="preserve">住房保障支出类决算数为 </w:t>
      </w:r>
      <w:r>
        <w:rPr>
          <w:rFonts w:hint="eastAsia" w:ascii="仿宋_GB2312" w:hAnsi="仿宋_GB2312" w:eastAsia="仿宋_GB2312" w:cs="仿宋_GB2312"/>
          <w:kern w:val="0"/>
          <w:sz w:val="32"/>
          <w:szCs w:val="32"/>
          <w:u w:val="none" w:color="auto"/>
          <w:lang w:val="en-US" w:eastAsia="zh-CN"/>
        </w:rPr>
        <w:t>21.04</w:t>
      </w:r>
      <w:r>
        <w:rPr>
          <w:rFonts w:hint="eastAsia" w:ascii="仿宋_GB2312" w:hAnsi="仿宋_GB2312" w:eastAsia="仿宋_GB2312" w:cs="仿宋_GB2312"/>
          <w:kern w:val="0"/>
          <w:sz w:val="32"/>
          <w:szCs w:val="32"/>
          <w:u w:val="none" w:color="auto"/>
        </w:rPr>
        <w:t xml:space="preserve">万元，与年初预算相比减少 </w:t>
      </w:r>
      <w:r>
        <w:rPr>
          <w:rFonts w:hint="eastAsia" w:ascii="仿宋_GB2312" w:hAnsi="仿宋_GB2312" w:eastAsia="仿宋_GB2312" w:cs="仿宋_GB2312"/>
          <w:kern w:val="0"/>
          <w:sz w:val="32"/>
          <w:szCs w:val="32"/>
          <w:u w:val="none" w:color="auto"/>
          <w:lang w:val="en-US" w:eastAsia="zh-CN"/>
        </w:rPr>
        <w:t>1.53</w:t>
      </w:r>
      <w:r>
        <w:rPr>
          <w:rFonts w:hint="eastAsia" w:ascii="仿宋_GB2312" w:hAnsi="仿宋_GB2312" w:eastAsia="仿宋_GB2312" w:cs="仿宋_GB2312"/>
          <w:kern w:val="0"/>
          <w:sz w:val="32"/>
          <w:szCs w:val="32"/>
          <w:u w:val="none" w:color="auto"/>
        </w:rPr>
        <w:t>万元。其中：</w:t>
      </w:r>
    </w:p>
    <w:p w14:paraId="24A9AA6A">
      <w:pPr>
        <w:keepNext w:val="0"/>
        <w:keepLines w:val="0"/>
        <w:pageBreakBefore w:val="0"/>
        <w:widowControl/>
        <w:numPr>
          <w:ilvl w:val="0"/>
          <w:numId w:val="5"/>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kern w:val="0"/>
          <w:sz w:val="32"/>
          <w:szCs w:val="32"/>
          <w:u w:val="none" w:color="auto"/>
        </w:rPr>
        <w:t>住房改革支出（款）住房公积金（项）。年初预算</w:t>
      </w:r>
      <w:r>
        <w:rPr>
          <w:rFonts w:hint="eastAsia" w:ascii="仿宋_GB2312" w:hAnsi="仿宋_GB2312" w:eastAsia="仿宋_GB2312" w:cs="仿宋_GB2312"/>
          <w:kern w:val="0"/>
          <w:sz w:val="32"/>
          <w:szCs w:val="32"/>
          <w:u w:val="none" w:color="auto"/>
          <w:lang w:val="en-US" w:eastAsia="zh-CN"/>
        </w:rPr>
        <w:t>22.57</w:t>
      </w:r>
      <w:r>
        <w:rPr>
          <w:rFonts w:hint="eastAsia" w:ascii="仿宋_GB2312" w:hAnsi="仿宋_GB2312" w:eastAsia="仿宋_GB2312" w:cs="仿宋_GB2312"/>
          <w:kern w:val="0"/>
          <w:sz w:val="32"/>
          <w:szCs w:val="32"/>
          <w:u w:val="none" w:color="auto"/>
        </w:rPr>
        <w:t>万元，支出决算</w:t>
      </w:r>
      <w:r>
        <w:rPr>
          <w:rFonts w:hint="eastAsia" w:ascii="仿宋_GB2312" w:hAnsi="仿宋_GB2312" w:eastAsia="仿宋_GB2312" w:cs="仿宋_GB2312"/>
          <w:kern w:val="0"/>
          <w:sz w:val="32"/>
          <w:szCs w:val="32"/>
          <w:u w:val="none" w:color="auto"/>
          <w:lang w:val="en-US" w:eastAsia="zh-CN"/>
        </w:rPr>
        <w:t>21.04</w:t>
      </w:r>
      <w:r>
        <w:rPr>
          <w:rFonts w:hint="eastAsia" w:ascii="仿宋_GB2312" w:hAnsi="仿宋_GB2312" w:eastAsia="仿宋_GB2312" w:cs="仿宋_GB2312"/>
          <w:kern w:val="0"/>
          <w:sz w:val="32"/>
          <w:szCs w:val="32"/>
          <w:u w:val="none" w:color="auto"/>
        </w:rPr>
        <w:t>万元，完成年初预算的</w:t>
      </w:r>
      <w:r>
        <w:rPr>
          <w:rFonts w:hint="eastAsia" w:ascii="仿宋_GB2312" w:hAnsi="仿宋_GB2312" w:eastAsia="仿宋_GB2312" w:cs="仿宋_GB2312"/>
          <w:kern w:val="0"/>
          <w:sz w:val="32"/>
          <w:szCs w:val="32"/>
          <w:u w:val="none" w:color="auto"/>
          <w:lang w:val="en-US" w:eastAsia="zh-CN"/>
        </w:rPr>
        <w:t>93.2</w:t>
      </w:r>
      <w:r>
        <w:rPr>
          <w:rFonts w:hint="eastAsia" w:ascii="仿宋_GB2312" w:hAnsi="仿宋_GB2312" w:eastAsia="仿宋_GB2312" w:cs="仿宋_GB2312"/>
          <w:kern w:val="0"/>
          <w:sz w:val="32"/>
          <w:szCs w:val="32"/>
          <w:u w:val="none" w:color="auto"/>
        </w:rPr>
        <w:t>%。决算数与年初预算数的差异原因：</w:t>
      </w:r>
      <w:r>
        <w:rPr>
          <w:rFonts w:hint="eastAsia" w:ascii="仿宋_GB2312" w:hAnsi="仿宋_GB2312" w:eastAsia="仿宋_GB2312" w:cs="仿宋_GB2312"/>
          <w:kern w:val="0"/>
          <w:sz w:val="32"/>
          <w:szCs w:val="32"/>
          <w:u w:val="none" w:color="auto"/>
          <w:lang w:val="en-US" w:eastAsia="zh-CN"/>
        </w:rPr>
        <w:t>2024年扎兰屯市河西街道办事处人员退休2人（赵凤梅、杨莲萍）。</w:t>
      </w:r>
    </w:p>
    <w:p w14:paraId="57D2C078">
      <w:pPr>
        <w:widowControl/>
        <w:spacing w:before="240" w:after="240"/>
        <w:jc w:val="left"/>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bCs/>
          <w:kern w:val="0"/>
          <w:sz w:val="32"/>
          <w:szCs w:val="32"/>
          <w:u w:val="none" w:color="auto"/>
        </w:rPr>
        <w:t>    六、一般公共预算财政拨款基本支出决算情况说明</w:t>
      </w:r>
    </w:p>
    <w:p w14:paraId="065CCA5B">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kern w:val="0"/>
          <w:sz w:val="32"/>
          <w:szCs w:val="32"/>
          <w:u w:val="none" w:color="auto"/>
        </w:rPr>
        <w:t xml:space="preserve">    </w:t>
      </w:r>
      <w:r>
        <w:rPr>
          <w:rFonts w:hint="eastAsia" w:ascii="仿宋_GB2312" w:hAnsi="仿宋_GB2312" w:eastAsia="仿宋_GB2312" w:cs="仿宋_GB2312"/>
          <w:color w:val="000000"/>
          <w:kern w:val="0"/>
          <w:sz w:val="32"/>
          <w:szCs w:val="32"/>
          <w:u w:val="none" w:color="auto"/>
        </w:rPr>
        <w:t>内蒙古自治区呼伦贝尔市扎兰屯市河西街道办事处 2024年度一般公共预算财政拨款基本支出决算 699.96万元，其中：</w:t>
      </w:r>
    </w:p>
    <w:p w14:paraId="541CFCA9">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bCs/>
          <w:color w:val="000000"/>
          <w:kern w:val="0"/>
          <w:sz w:val="32"/>
          <w:szCs w:val="32"/>
          <w:u w:val="none" w:color="auto"/>
        </w:rPr>
        <w:t>    （一）人员经费</w:t>
      </w:r>
      <w:r>
        <w:rPr>
          <w:rFonts w:hint="eastAsia" w:ascii="仿宋_GB2312" w:hAnsi="仿宋_GB2312" w:eastAsia="仿宋_GB2312" w:cs="仿宋_GB2312"/>
          <w:color w:val="000000"/>
          <w:kern w:val="0"/>
          <w:sz w:val="32"/>
          <w:szCs w:val="32"/>
          <w:u w:val="none" w:color="auto"/>
        </w:rPr>
        <w:t> 589.05</w:t>
      </w:r>
      <w:r>
        <w:rPr>
          <w:rFonts w:hint="eastAsia" w:ascii="仿宋_GB2312" w:hAnsi="仿宋_GB2312" w:eastAsia="仿宋_GB2312" w:cs="仿宋_GB2312"/>
          <w:b/>
          <w:bCs/>
          <w:color w:val="000000"/>
          <w:kern w:val="0"/>
          <w:sz w:val="32"/>
          <w:szCs w:val="32"/>
          <w:u w:val="none" w:color="auto"/>
        </w:rPr>
        <w:t>万元</w:t>
      </w:r>
      <w:r>
        <w:rPr>
          <w:rFonts w:hint="eastAsia" w:ascii="仿宋_GB2312" w:hAnsi="仿宋_GB2312" w:eastAsia="仿宋_GB2312" w:cs="仿宋_GB2312"/>
          <w:color w:val="000000"/>
          <w:kern w:val="0"/>
          <w:sz w:val="32"/>
          <w:szCs w:val="32"/>
          <w:u w:val="none" w:color="auto"/>
        </w:rPr>
        <w:t>。主要包括：基本工资、津贴补贴、奖金、绩效工资、机关事业单位基本养老保险缴费、职业年金缴费、职工基本医疗保险缴费、住房公积金、其他工资福利支出、离休费、退休费、生活补助支出等。</w:t>
      </w:r>
    </w:p>
    <w:p w14:paraId="3AED500A">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00000"/>
          <w:kern w:val="0"/>
          <w:sz w:val="32"/>
          <w:szCs w:val="32"/>
          <w:u w:val="none" w:color="auto"/>
        </w:rPr>
        <w:t>（按“公开06表一般公共预算财政拨款基本支出决算明细表”中有经济分类支出的事项填写）</w:t>
      </w:r>
    </w:p>
    <w:p w14:paraId="697657DB">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bCs/>
          <w:color w:val="000000"/>
          <w:kern w:val="0"/>
          <w:sz w:val="32"/>
          <w:szCs w:val="32"/>
          <w:u w:val="none" w:color="auto"/>
        </w:rPr>
        <w:t>    （二）公用经费</w:t>
      </w:r>
      <w:r>
        <w:rPr>
          <w:rFonts w:hint="eastAsia" w:ascii="仿宋_GB2312" w:hAnsi="仿宋_GB2312" w:eastAsia="仿宋_GB2312" w:cs="仿宋_GB2312"/>
          <w:color w:val="000000"/>
          <w:kern w:val="0"/>
          <w:sz w:val="32"/>
          <w:szCs w:val="32"/>
          <w:u w:val="none" w:color="auto"/>
        </w:rPr>
        <w:t> 110.91</w:t>
      </w:r>
      <w:r>
        <w:rPr>
          <w:rFonts w:hint="eastAsia" w:ascii="仿宋_GB2312" w:hAnsi="仿宋_GB2312" w:eastAsia="仿宋_GB2312" w:cs="仿宋_GB2312"/>
          <w:b/>
          <w:bCs/>
          <w:color w:val="000000"/>
          <w:kern w:val="0"/>
          <w:sz w:val="32"/>
          <w:szCs w:val="32"/>
          <w:u w:val="none" w:color="auto"/>
        </w:rPr>
        <w:t>万元</w:t>
      </w:r>
      <w:r>
        <w:rPr>
          <w:rFonts w:hint="eastAsia" w:ascii="仿宋_GB2312" w:hAnsi="仿宋_GB2312" w:eastAsia="仿宋_GB2312" w:cs="仿宋_GB2312"/>
          <w:color w:val="000000"/>
          <w:kern w:val="0"/>
          <w:sz w:val="32"/>
          <w:szCs w:val="32"/>
          <w:u w:val="none" w:color="auto"/>
        </w:rPr>
        <w:t>。主要包括：办公费、水费、电费、邮电费、取暖费、差旅费、维修（护）费、培训费、公务接待费、劳务费、工会经费、公务用车运行维护费、其他交通费用支出等。</w:t>
      </w:r>
    </w:p>
    <w:p w14:paraId="58CF0B9C">
      <w:pPr>
        <w:widowControl/>
        <w:spacing w:before="240" w:after="240"/>
        <w:jc w:val="left"/>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bCs/>
          <w:kern w:val="0"/>
          <w:sz w:val="32"/>
          <w:szCs w:val="32"/>
          <w:u w:val="none" w:color="auto"/>
        </w:rPr>
        <w:t>    七、一般公共预算财政拨款项目支出决算情况说明</w:t>
      </w:r>
    </w:p>
    <w:p w14:paraId="15D450D2">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E00FE"/>
          <w:kern w:val="0"/>
          <w:sz w:val="32"/>
          <w:szCs w:val="32"/>
          <w:u w:val="none" w:color="auto"/>
        </w:rPr>
        <w:t xml:space="preserve">  </w:t>
      </w:r>
      <w:r>
        <w:rPr>
          <w:rFonts w:hint="eastAsia" w:ascii="仿宋_GB2312" w:hAnsi="仿宋_GB2312" w:eastAsia="仿宋_GB2312" w:cs="仿宋_GB2312"/>
          <w:kern w:val="0"/>
          <w:sz w:val="32"/>
          <w:szCs w:val="32"/>
          <w:u w:val="none" w:color="auto"/>
        </w:rPr>
        <w:t>   </w:t>
      </w:r>
      <w:r>
        <w:rPr>
          <w:rFonts w:hint="eastAsia" w:ascii="仿宋_GB2312" w:hAnsi="仿宋_GB2312" w:eastAsia="仿宋_GB2312" w:cs="仿宋_GB2312"/>
          <w:color w:val="000000"/>
          <w:kern w:val="0"/>
          <w:sz w:val="32"/>
          <w:szCs w:val="32"/>
          <w:u w:val="none" w:color="auto"/>
        </w:rPr>
        <w:t xml:space="preserve"> 内蒙古自治区呼伦贝尔市扎兰屯市河西街道办事处 2024年度一般公共预算财政拨款项目支出决算 95.94万元，其中：</w:t>
      </w:r>
    </w:p>
    <w:p w14:paraId="22EB88D0">
      <w:pPr>
        <w:widowControl/>
        <w:numPr>
          <w:ilvl w:val="0"/>
          <w:numId w:val="6"/>
        </w:numPr>
        <w:spacing w:before="240" w:after="240"/>
        <w:ind w:left="421" w:leftChars="0" w:firstLine="0" w:firstLineChars="0"/>
        <w:rPr>
          <w:rFonts w:hint="eastAsia" w:ascii="仿宋_GB2312" w:hAnsi="仿宋_GB2312" w:eastAsia="仿宋_GB2312" w:cs="仿宋_GB2312"/>
          <w:color w:val="000000"/>
          <w:kern w:val="0"/>
          <w:sz w:val="32"/>
          <w:szCs w:val="32"/>
          <w:u w:val="none" w:color="auto"/>
        </w:rPr>
      </w:pPr>
      <w:r>
        <w:rPr>
          <w:rFonts w:hint="eastAsia" w:ascii="仿宋_GB2312" w:hAnsi="仿宋_GB2312" w:eastAsia="仿宋_GB2312" w:cs="仿宋_GB2312"/>
          <w:b/>
          <w:bCs/>
          <w:color w:val="000000"/>
          <w:kern w:val="0"/>
          <w:sz w:val="32"/>
          <w:szCs w:val="32"/>
          <w:u w:val="none" w:color="auto"/>
        </w:rPr>
        <w:t>工资福利支出</w:t>
      </w:r>
      <w:r>
        <w:rPr>
          <w:rFonts w:hint="eastAsia" w:ascii="仿宋_GB2312" w:hAnsi="仿宋_GB2312" w:eastAsia="仿宋_GB2312" w:cs="仿宋_GB2312"/>
          <w:color w:val="000000"/>
          <w:kern w:val="0"/>
          <w:sz w:val="32"/>
          <w:szCs w:val="32"/>
          <w:u w:val="none" w:color="auto"/>
        </w:rPr>
        <w:t xml:space="preserve"> </w:t>
      </w:r>
      <w:r>
        <w:rPr>
          <w:rFonts w:hint="eastAsia" w:ascii="仿宋_GB2312" w:hAnsi="仿宋_GB2312" w:eastAsia="仿宋_GB2312" w:cs="仿宋_GB2312"/>
          <w:b/>
          <w:bCs/>
          <w:color w:val="000000"/>
          <w:kern w:val="0"/>
          <w:sz w:val="32"/>
          <w:szCs w:val="32"/>
          <w:u w:val="none" w:color="auto"/>
        </w:rPr>
        <w:t>0</w:t>
      </w:r>
      <w:r>
        <w:rPr>
          <w:rFonts w:hint="eastAsia" w:ascii="仿宋_GB2312" w:hAnsi="仿宋_GB2312" w:eastAsia="仿宋_GB2312" w:cs="仿宋_GB2312"/>
          <w:color w:val="000000"/>
          <w:kern w:val="0"/>
          <w:sz w:val="32"/>
          <w:szCs w:val="32"/>
          <w:u w:val="none" w:color="auto"/>
        </w:rPr>
        <w:t>万元。</w:t>
      </w:r>
    </w:p>
    <w:p w14:paraId="01562A8B">
      <w:pPr>
        <w:widowControl/>
        <w:numPr>
          <w:ilvl w:val="0"/>
          <w:numId w:val="0"/>
        </w:numPr>
        <w:spacing w:before="240" w:after="240"/>
        <w:ind w:left="421" w:leftChars="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bCs/>
          <w:color w:val="000000"/>
          <w:kern w:val="0"/>
          <w:sz w:val="32"/>
          <w:szCs w:val="32"/>
          <w:u w:val="none" w:color="auto"/>
        </w:rPr>
        <w:t>    （二）商品和服务支出 89.18</w:t>
      </w:r>
      <w:r>
        <w:rPr>
          <w:rFonts w:hint="eastAsia" w:ascii="仿宋_GB2312" w:hAnsi="仿宋_GB2312" w:eastAsia="仿宋_GB2312" w:cs="仿宋_GB2312"/>
          <w:color w:val="000000"/>
          <w:kern w:val="0"/>
          <w:sz w:val="32"/>
          <w:szCs w:val="32"/>
          <w:u w:val="none" w:color="auto"/>
        </w:rPr>
        <w:t>万元。主要包括：办公费、维修（护）费、劳务费支出等。</w:t>
      </w:r>
    </w:p>
    <w:p w14:paraId="75DAFF72">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bCs/>
          <w:color w:val="000000"/>
          <w:kern w:val="0"/>
          <w:sz w:val="32"/>
          <w:szCs w:val="32"/>
          <w:u w:val="none" w:color="auto"/>
        </w:rPr>
        <w:t>    （三）</w:t>
      </w:r>
      <w:r>
        <w:rPr>
          <w:rFonts w:hint="eastAsia" w:ascii="仿宋_GB2312" w:hAnsi="仿宋_GB2312" w:eastAsia="仿宋_GB2312" w:cs="仿宋_GB2312"/>
          <w:b/>
          <w:bCs/>
          <w:color w:val="000000"/>
          <w:kern w:val="0"/>
          <w:sz w:val="32"/>
          <w:szCs w:val="32"/>
          <w:u w:val="none" w:color="auto"/>
          <w:lang w:eastAsia="zh-CN"/>
        </w:rPr>
        <w:t>对个人和家庭的补助</w:t>
      </w:r>
      <w:r>
        <w:rPr>
          <w:rFonts w:hint="eastAsia" w:ascii="仿宋_GB2312" w:hAnsi="仿宋_GB2312" w:eastAsia="仿宋_GB2312" w:cs="仿宋_GB2312"/>
          <w:b/>
          <w:bCs/>
          <w:color w:val="000000"/>
          <w:kern w:val="0"/>
          <w:sz w:val="32"/>
          <w:szCs w:val="32"/>
          <w:u w:val="none" w:color="auto"/>
        </w:rPr>
        <w:t xml:space="preserve">支出 </w:t>
      </w:r>
      <w:r>
        <w:rPr>
          <w:rFonts w:hint="eastAsia" w:ascii="仿宋_GB2312" w:hAnsi="仿宋_GB2312" w:eastAsia="仿宋_GB2312" w:cs="仿宋_GB2312"/>
          <w:b/>
          <w:bCs/>
          <w:color w:val="000000"/>
          <w:kern w:val="0"/>
          <w:sz w:val="32"/>
          <w:szCs w:val="32"/>
          <w:u w:val="none" w:color="auto"/>
          <w:lang w:val="en-US" w:eastAsia="zh-CN"/>
        </w:rPr>
        <w:t>6.76</w:t>
      </w:r>
      <w:r>
        <w:rPr>
          <w:rFonts w:hint="eastAsia" w:ascii="仿宋_GB2312" w:hAnsi="仿宋_GB2312" w:eastAsia="仿宋_GB2312" w:cs="仿宋_GB2312"/>
          <w:b/>
          <w:bCs/>
          <w:color w:val="000000"/>
          <w:kern w:val="0"/>
          <w:sz w:val="32"/>
          <w:szCs w:val="32"/>
          <w:u w:val="none" w:color="auto"/>
        </w:rPr>
        <w:t>万元。</w:t>
      </w:r>
      <w:r>
        <w:rPr>
          <w:rFonts w:hint="eastAsia" w:ascii="仿宋_GB2312" w:hAnsi="仿宋_GB2312" w:eastAsia="仿宋_GB2312" w:cs="仿宋_GB2312"/>
          <w:color w:val="000000"/>
          <w:kern w:val="0"/>
          <w:sz w:val="32"/>
          <w:szCs w:val="32"/>
          <w:u w:val="none" w:color="auto"/>
        </w:rPr>
        <w:t>主要包括：</w:t>
      </w:r>
      <w:r>
        <w:rPr>
          <w:rFonts w:hint="eastAsia" w:ascii="仿宋_GB2312" w:hAnsi="仿宋_GB2312" w:eastAsia="仿宋_GB2312" w:cs="仿宋_GB2312"/>
          <w:color w:val="000000"/>
          <w:kern w:val="0"/>
          <w:sz w:val="32"/>
          <w:szCs w:val="32"/>
          <w:u w:val="none" w:color="auto"/>
          <w:lang w:eastAsia="zh-CN"/>
        </w:rPr>
        <w:t>生活补助</w:t>
      </w:r>
      <w:r>
        <w:rPr>
          <w:rFonts w:hint="eastAsia" w:ascii="仿宋_GB2312" w:hAnsi="仿宋_GB2312" w:eastAsia="仿宋_GB2312" w:cs="仿宋_GB2312"/>
          <w:color w:val="000000"/>
          <w:kern w:val="0"/>
          <w:sz w:val="32"/>
          <w:szCs w:val="32"/>
          <w:u w:val="none" w:color="auto"/>
        </w:rPr>
        <w:t>支出。</w:t>
      </w:r>
      <w:r>
        <w:rPr>
          <w:rFonts w:hint="eastAsia" w:ascii="仿宋_GB2312" w:hAnsi="仿宋_GB2312" w:eastAsia="仿宋_GB2312" w:cs="仿宋_GB2312"/>
          <w:color w:val="000000"/>
          <w:kern w:val="0"/>
          <w:sz w:val="32"/>
          <w:szCs w:val="32"/>
          <w:u w:val="none" w:color="auto"/>
          <w:lang w:eastAsia="zh-CN"/>
        </w:rPr>
        <w:t>列支的内容主要是社区党组织服务群众项目中对生活困难人员购米面油等进行慰问支出。</w:t>
      </w:r>
    </w:p>
    <w:p w14:paraId="6802DE62">
      <w:pPr>
        <w:widowControl/>
        <w:spacing w:before="240" w:after="240"/>
        <w:jc w:val="left"/>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bCs/>
          <w:kern w:val="0"/>
          <w:sz w:val="32"/>
          <w:szCs w:val="32"/>
          <w:u w:val="none" w:color="auto"/>
        </w:rPr>
        <w:t>    八、财政拨款“三公”经费支出决算情况说明</w:t>
      </w:r>
    </w:p>
    <w:p w14:paraId="27A9EF79">
      <w:pPr>
        <w:widowControl/>
        <w:spacing w:before="240" w:after="240"/>
        <w:jc w:val="left"/>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bCs/>
          <w:kern w:val="0"/>
          <w:sz w:val="32"/>
          <w:szCs w:val="32"/>
          <w:u w:val="none" w:color="auto"/>
        </w:rPr>
        <w:t>    （一）财政拨款“三公”经费支出总体情况说明。</w:t>
      </w:r>
    </w:p>
    <w:p w14:paraId="4A561AB2">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kern w:val="0"/>
          <w:sz w:val="32"/>
          <w:szCs w:val="32"/>
          <w:u w:val="none" w:color="auto"/>
        </w:rPr>
        <w:t xml:space="preserve">    </w:t>
      </w:r>
      <w:r>
        <w:rPr>
          <w:rFonts w:hint="eastAsia" w:ascii="仿宋_GB2312" w:hAnsi="仿宋_GB2312" w:eastAsia="仿宋_GB2312" w:cs="仿宋_GB2312"/>
          <w:color w:val="000000"/>
          <w:kern w:val="0"/>
          <w:sz w:val="32"/>
          <w:szCs w:val="32"/>
          <w:u w:val="none" w:color="auto"/>
        </w:rPr>
        <w:t>内蒙古自治区呼伦贝尔市扎兰屯市河西街道办事处 2024年度财政拨款“三公”经费全年预算 4.71万元，支出决算 4.71万元，完成预算的 100.00%。其中：因公出国（境）费全年预算 0万元，支出决算 0万元，完成预算的 0%；公务用车购置及运行维护费全年预算 4.71万元，支出决算 4.71万元，完成预算的 100.00%；公务接待费全年预算 0万元，支出决算 0万元，完成预算的 0%。2024年度一般公共预算财政拨款“三公”经费全年预算 4.71万元，支出决算 4.71万元，与预算</w:t>
      </w:r>
      <w:r>
        <w:rPr>
          <w:rFonts w:hint="eastAsia" w:ascii="仿宋_GB2312" w:hAnsi="仿宋_GB2312" w:eastAsia="仿宋_GB2312" w:cs="仿宋_GB2312"/>
          <w:color w:val="000000"/>
          <w:kern w:val="0"/>
          <w:sz w:val="32"/>
          <w:szCs w:val="32"/>
          <w:u w:val="none" w:color="auto"/>
          <w:lang w:eastAsia="zh-CN"/>
        </w:rPr>
        <w:t>没有差异</w:t>
      </w:r>
      <w:r>
        <w:rPr>
          <w:rFonts w:hint="eastAsia" w:ascii="仿宋_GB2312" w:hAnsi="仿宋_GB2312" w:eastAsia="仿宋_GB2312" w:cs="仿宋_GB2312"/>
          <w:color w:val="000000"/>
          <w:kern w:val="0"/>
          <w:sz w:val="32"/>
          <w:szCs w:val="32"/>
          <w:u w:val="none" w:color="auto"/>
        </w:rPr>
        <w:t>。</w:t>
      </w:r>
    </w:p>
    <w:p w14:paraId="3AA553D7">
      <w:pPr>
        <w:widowControl/>
        <w:spacing w:before="240" w:after="240"/>
        <w:jc w:val="left"/>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bCs/>
          <w:kern w:val="0"/>
          <w:sz w:val="32"/>
          <w:szCs w:val="32"/>
          <w:u w:val="none" w:color="auto"/>
        </w:rPr>
        <w:t>    （二）财政拨款“三公”经费支出具体情况说明。</w:t>
      </w:r>
    </w:p>
    <w:p w14:paraId="4217E4AE">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kern w:val="0"/>
          <w:sz w:val="32"/>
          <w:szCs w:val="32"/>
          <w:u w:val="none" w:color="auto"/>
        </w:rPr>
        <w:t xml:space="preserve">    </w:t>
      </w:r>
      <w:r>
        <w:rPr>
          <w:rFonts w:hint="eastAsia" w:ascii="仿宋_GB2312" w:hAnsi="仿宋_GB2312" w:eastAsia="仿宋_GB2312" w:cs="仿宋_GB2312"/>
          <w:color w:val="000000"/>
          <w:kern w:val="0"/>
          <w:sz w:val="32"/>
          <w:szCs w:val="32"/>
          <w:u w:val="none" w:color="auto"/>
        </w:rPr>
        <w:t>内蒙古自治区呼伦贝尔市扎兰屯市河西街道办事处 2024年度财政拨款“三公”经费支出 4.71万元。因公出国（境）费支出 0万元，占 0%；公务用车购置及运行维护费支出 4.71万元，占 100.00%；公务接待费支出 0万元，占 0%。其中：</w:t>
      </w:r>
    </w:p>
    <w:p w14:paraId="3262FA63">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00000"/>
          <w:kern w:val="0"/>
          <w:sz w:val="32"/>
          <w:szCs w:val="32"/>
          <w:u w:val="none" w:color="auto"/>
        </w:rPr>
        <w:t>    1.因公出国（境）费支出 0万元，全年出国（境）团组0 个，累计0 人次。与上年决算相比，</w:t>
      </w:r>
      <w:r>
        <w:rPr>
          <w:rFonts w:hint="eastAsia" w:ascii="仿宋_GB2312" w:hAnsi="仿宋_GB2312" w:eastAsia="仿宋_GB2312" w:cs="仿宋_GB2312"/>
          <w:color w:val="000000"/>
          <w:kern w:val="0"/>
          <w:sz w:val="32"/>
          <w:szCs w:val="32"/>
          <w:u w:val="none" w:color="auto"/>
          <w:lang w:eastAsia="zh-CN"/>
        </w:rPr>
        <w:t>没有变化</w:t>
      </w:r>
      <w:r>
        <w:rPr>
          <w:rFonts w:hint="eastAsia" w:ascii="仿宋_GB2312" w:hAnsi="仿宋_GB2312" w:eastAsia="仿宋_GB2312" w:cs="仿宋_GB2312"/>
          <w:color w:val="000000"/>
          <w:kern w:val="0"/>
          <w:sz w:val="32"/>
          <w:szCs w:val="32"/>
          <w:u w:val="none" w:color="auto"/>
          <w:lang w:val="en-US" w:eastAsia="zh-CN"/>
        </w:rPr>
        <w:t xml:space="preserve"> </w:t>
      </w:r>
      <w:r>
        <w:rPr>
          <w:rFonts w:hint="eastAsia" w:ascii="仿宋_GB2312" w:hAnsi="仿宋_GB2312" w:eastAsia="仿宋_GB2312" w:cs="仿宋_GB2312"/>
          <w:color w:val="000000"/>
          <w:kern w:val="0"/>
          <w:sz w:val="32"/>
          <w:szCs w:val="32"/>
          <w:u w:val="none" w:color="auto"/>
        </w:rPr>
        <w:t>。</w:t>
      </w:r>
    </w:p>
    <w:p w14:paraId="271DE7E6">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00000"/>
          <w:kern w:val="0"/>
          <w:sz w:val="32"/>
          <w:szCs w:val="32"/>
          <w:u w:val="none" w:color="auto"/>
        </w:rPr>
        <w:t>     2.公务用车购置及运行维护费支出 4.71万元。其中：</w:t>
      </w:r>
    </w:p>
    <w:p w14:paraId="2C4F498D">
      <w:pPr>
        <w:widowControl/>
        <w:spacing w:before="240" w:after="240"/>
        <w:ind w:firstLine="420"/>
        <w:rPr>
          <w:rFonts w:hint="eastAsia" w:ascii="仿宋_GB2312" w:hAnsi="仿宋_GB2312" w:eastAsia="仿宋_GB2312" w:cs="仿宋_GB2312"/>
          <w:color w:val="000000"/>
          <w:kern w:val="0"/>
          <w:sz w:val="32"/>
          <w:szCs w:val="32"/>
          <w:u w:val="none" w:color="auto"/>
          <w:lang w:eastAsia="zh-CN"/>
        </w:rPr>
      </w:pPr>
      <w:r>
        <w:rPr>
          <w:rFonts w:hint="eastAsia" w:ascii="仿宋_GB2312" w:hAnsi="仿宋_GB2312" w:eastAsia="仿宋_GB2312" w:cs="仿宋_GB2312"/>
          <w:color w:val="000000"/>
          <w:kern w:val="0"/>
          <w:sz w:val="32"/>
          <w:szCs w:val="32"/>
          <w:u w:val="none" w:color="auto"/>
        </w:rPr>
        <w:t>（1）公务用车购置支出 0万元。本年度使用财政拨款购置公务用车0 辆，与上年决算相比，</w:t>
      </w:r>
      <w:r>
        <w:rPr>
          <w:rFonts w:hint="eastAsia" w:ascii="仿宋_GB2312" w:hAnsi="仿宋_GB2312" w:eastAsia="仿宋_GB2312" w:cs="仿宋_GB2312"/>
          <w:color w:val="000000"/>
          <w:kern w:val="0"/>
          <w:sz w:val="32"/>
          <w:szCs w:val="32"/>
          <w:u w:val="none" w:color="auto"/>
          <w:lang w:eastAsia="zh-CN"/>
        </w:rPr>
        <w:t>没有变化。</w:t>
      </w:r>
    </w:p>
    <w:p w14:paraId="1C2DB619">
      <w:pPr>
        <w:widowControl/>
        <w:spacing w:before="240" w:after="240"/>
        <w:ind w:firstLine="42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00000"/>
          <w:kern w:val="0"/>
          <w:sz w:val="32"/>
          <w:szCs w:val="32"/>
          <w:u w:val="none" w:color="auto"/>
        </w:rPr>
        <w:t>    （2）公务用车运行维护费支出 4.71万元。公务用车运行维护费主要用于按规定保留的公务用车的燃料费、维修费、过桥过路费、保险费、安全奖励费用等支出。截至2024年12月31日，使用财政拨款开支的公务用车保有量为2 辆。与上年决算相比，减少0.37万元，下降7.28%，变动原因：</w:t>
      </w:r>
      <w:r>
        <w:rPr>
          <w:rFonts w:hint="eastAsia" w:ascii="仿宋_GB2312" w:hAnsi="仿宋_GB2312" w:eastAsia="仿宋_GB2312" w:cs="仿宋_GB2312"/>
          <w:kern w:val="0"/>
          <w:sz w:val="32"/>
          <w:szCs w:val="32"/>
          <w:u w:val="none" w:color="auto"/>
          <w:lang w:eastAsia="zh-CN"/>
        </w:rPr>
        <w:t>河西街道办事处本着历行节约的原则严格执行用车制度</w:t>
      </w:r>
      <w:r>
        <w:rPr>
          <w:rFonts w:hint="eastAsia" w:ascii="仿宋_GB2312" w:hAnsi="仿宋_GB2312" w:eastAsia="仿宋_GB2312" w:cs="仿宋_GB2312"/>
          <w:kern w:val="0"/>
          <w:sz w:val="32"/>
          <w:szCs w:val="32"/>
          <w:u w:val="none" w:color="auto"/>
        </w:rPr>
        <w:t>。</w:t>
      </w:r>
    </w:p>
    <w:p w14:paraId="084B4F6E">
      <w:pPr>
        <w:keepNext w:val="0"/>
        <w:keepLines w:val="0"/>
        <w:pageBreakBefore w:val="0"/>
        <w:widowControl/>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00000"/>
          <w:kern w:val="0"/>
          <w:sz w:val="32"/>
          <w:szCs w:val="32"/>
          <w:u w:val="none" w:color="auto"/>
        </w:rPr>
        <w:t>    3.公务接待费支出 0万元。其中：国内公务接待支出 0万元，接待0 批次，0 人次，国（境）外公务接待支出 0万元，接待0 批次，0 人次。与上年决算相比，增加 0万元，增长 0%，</w:t>
      </w:r>
      <w:r>
        <w:rPr>
          <w:rFonts w:hint="eastAsia" w:ascii="仿宋_GB2312" w:hAnsi="仿宋_GB2312" w:eastAsia="仿宋_GB2312" w:cs="仿宋_GB2312"/>
          <w:kern w:val="0"/>
          <w:sz w:val="32"/>
          <w:szCs w:val="32"/>
          <w:u w:val="none" w:color="auto"/>
          <w:lang w:eastAsia="zh-CN"/>
        </w:rPr>
        <w:t>与上年比较没有</w:t>
      </w:r>
      <w:r>
        <w:rPr>
          <w:rFonts w:hint="eastAsia" w:ascii="仿宋_GB2312" w:hAnsi="仿宋_GB2312" w:eastAsia="仿宋_GB2312" w:cs="仿宋_GB2312"/>
          <w:kern w:val="0"/>
          <w:sz w:val="32"/>
          <w:szCs w:val="32"/>
          <w:u w:val="none" w:color="auto"/>
        </w:rPr>
        <w:t>变动。</w:t>
      </w:r>
    </w:p>
    <w:p w14:paraId="4928E4AD">
      <w:pPr>
        <w:widowControl/>
        <w:spacing w:before="240" w:after="240"/>
        <w:ind w:firstLine="393"/>
        <w:jc w:val="left"/>
        <w:rPr>
          <w:rFonts w:hint="eastAsia" w:ascii="仿宋_GB2312" w:hAnsi="仿宋_GB2312" w:eastAsia="仿宋_GB2312" w:cs="仿宋_GB2312"/>
          <w:b/>
          <w:bCs/>
          <w:kern w:val="0"/>
          <w:sz w:val="32"/>
          <w:szCs w:val="32"/>
          <w:u w:val="none" w:color="auto"/>
        </w:rPr>
      </w:pPr>
      <w:r>
        <w:rPr>
          <w:rFonts w:hint="eastAsia" w:ascii="仿宋_GB2312" w:hAnsi="仿宋_GB2312" w:eastAsia="仿宋_GB2312" w:cs="仿宋_GB2312"/>
          <w:b/>
          <w:bCs/>
          <w:kern w:val="0"/>
          <w:sz w:val="32"/>
          <w:szCs w:val="32"/>
          <w:u w:val="none" w:color="auto"/>
        </w:rPr>
        <w:t>九、政府性基金预算财政拨款支出决算情况说明</w:t>
      </w:r>
    </w:p>
    <w:p w14:paraId="471FAB26">
      <w:pPr>
        <w:widowControl/>
        <w:spacing w:before="240" w:after="240"/>
        <w:ind w:firstLine="393"/>
        <w:jc w:val="left"/>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kern w:val="0"/>
          <w:sz w:val="32"/>
          <w:szCs w:val="32"/>
          <w:u w:val="none" w:color="auto"/>
        </w:rPr>
        <w:t xml:space="preserve"> </w:t>
      </w:r>
      <w:r>
        <w:rPr>
          <w:rFonts w:hint="eastAsia" w:ascii="仿宋_GB2312" w:hAnsi="仿宋_GB2312" w:eastAsia="仿宋_GB2312" w:cs="仿宋_GB2312"/>
          <w:color w:val="000000"/>
          <w:kern w:val="0"/>
          <w:sz w:val="32"/>
          <w:szCs w:val="32"/>
          <w:u w:val="none" w:color="auto"/>
        </w:rPr>
        <w:t xml:space="preserve"> 内蒙古自治区呼伦贝尔市扎兰屯市河西街道办事处 2024年度政府性基金预算财政拨款支出决算 0万元。与上年决算相比，增加 0万元，增长 0%，</w:t>
      </w:r>
      <w:r>
        <w:rPr>
          <w:rFonts w:hint="eastAsia" w:ascii="仿宋_GB2312" w:hAnsi="仿宋_GB2312" w:eastAsia="仿宋_GB2312" w:cs="仿宋_GB2312"/>
          <w:kern w:val="0"/>
          <w:sz w:val="32"/>
          <w:szCs w:val="32"/>
          <w:u w:val="none" w:color="auto"/>
          <w:lang w:eastAsia="zh-CN"/>
        </w:rPr>
        <w:t>与上年比较没有</w:t>
      </w:r>
      <w:r>
        <w:rPr>
          <w:rFonts w:hint="eastAsia" w:ascii="仿宋_GB2312" w:hAnsi="仿宋_GB2312" w:eastAsia="仿宋_GB2312" w:cs="仿宋_GB2312"/>
          <w:kern w:val="0"/>
          <w:sz w:val="32"/>
          <w:szCs w:val="32"/>
          <w:u w:val="none" w:color="auto"/>
        </w:rPr>
        <w:t>变动。</w:t>
      </w:r>
    </w:p>
    <w:p w14:paraId="6C3BC0AB">
      <w:pPr>
        <w:widowControl/>
        <w:spacing w:before="240" w:after="240"/>
        <w:jc w:val="left"/>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bCs/>
          <w:kern w:val="0"/>
          <w:sz w:val="32"/>
          <w:szCs w:val="32"/>
          <w:u w:val="none" w:color="auto"/>
        </w:rPr>
        <w:t>    十、国有资本经营预算财政拨款支出决算情况说明</w:t>
      </w:r>
    </w:p>
    <w:p w14:paraId="2B9DBA1E">
      <w:pPr>
        <w:keepNext w:val="0"/>
        <w:keepLines w:val="0"/>
        <w:pageBreakBefore w:val="0"/>
        <w:widowControl/>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kern w:val="0"/>
          <w:sz w:val="32"/>
          <w:szCs w:val="32"/>
          <w:u w:val="none" w:color="auto"/>
        </w:rPr>
        <w:t xml:space="preserve">    </w:t>
      </w:r>
      <w:r>
        <w:rPr>
          <w:rFonts w:hint="eastAsia" w:ascii="仿宋_GB2312" w:hAnsi="仿宋_GB2312" w:eastAsia="仿宋_GB2312" w:cs="仿宋_GB2312"/>
          <w:color w:val="000000"/>
          <w:kern w:val="0"/>
          <w:sz w:val="32"/>
          <w:szCs w:val="32"/>
          <w:u w:val="none" w:color="auto"/>
        </w:rPr>
        <w:t>内蒙古自治区呼伦贝尔市扎兰屯市河西街道办事处 2024年度国有资本经营预算财政拨款支出决算 0万元。与上年决算相比，增加 0万元，增长 0%，</w:t>
      </w:r>
      <w:r>
        <w:rPr>
          <w:rFonts w:hint="eastAsia" w:ascii="仿宋_GB2312" w:hAnsi="仿宋_GB2312" w:eastAsia="仿宋_GB2312" w:cs="仿宋_GB2312"/>
          <w:kern w:val="0"/>
          <w:sz w:val="32"/>
          <w:szCs w:val="32"/>
          <w:u w:val="none" w:color="auto"/>
          <w:lang w:eastAsia="zh-CN"/>
        </w:rPr>
        <w:t>与上年比较没有</w:t>
      </w:r>
      <w:r>
        <w:rPr>
          <w:rFonts w:hint="eastAsia" w:ascii="仿宋_GB2312" w:hAnsi="仿宋_GB2312" w:eastAsia="仿宋_GB2312" w:cs="仿宋_GB2312"/>
          <w:kern w:val="0"/>
          <w:sz w:val="32"/>
          <w:szCs w:val="32"/>
          <w:u w:val="none" w:color="auto"/>
        </w:rPr>
        <w:t>变动。</w:t>
      </w:r>
    </w:p>
    <w:p w14:paraId="2556DE30">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bCs/>
          <w:kern w:val="0"/>
          <w:sz w:val="32"/>
          <w:szCs w:val="32"/>
          <w:u w:val="none" w:color="auto"/>
        </w:rPr>
        <w:t>    十一、机关运行经费（公用经费）支出决算情况说明</w:t>
      </w:r>
    </w:p>
    <w:p w14:paraId="471B08DC">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kern w:val="0"/>
          <w:sz w:val="32"/>
          <w:szCs w:val="32"/>
          <w:u w:val="none" w:color="auto"/>
        </w:rPr>
        <w:t xml:space="preserve">    </w:t>
      </w:r>
      <w:r>
        <w:rPr>
          <w:rFonts w:hint="eastAsia" w:ascii="仿宋_GB2312" w:hAnsi="仿宋_GB2312" w:eastAsia="仿宋_GB2312" w:cs="仿宋_GB2312"/>
          <w:color w:val="000000"/>
          <w:kern w:val="0"/>
          <w:sz w:val="32"/>
          <w:szCs w:val="32"/>
          <w:u w:val="none" w:color="auto"/>
        </w:rPr>
        <w:t>内蒙古自治区呼伦贝尔市扎兰屯市河西街道办事处 2024年度公用经费支出决算 110.91万元，与上年决算相比，减少5.75万元，下降4.93%，</w:t>
      </w:r>
      <w:r>
        <w:rPr>
          <w:rFonts w:hint="eastAsia" w:ascii="仿宋_GB2312" w:hAnsi="仿宋_GB2312" w:eastAsia="仿宋_GB2312" w:cs="仿宋_GB2312"/>
          <w:color w:val="000000"/>
          <w:kern w:val="0"/>
          <w:sz w:val="32"/>
          <w:szCs w:val="32"/>
          <w:highlight w:val="none"/>
          <w:u w:val="none" w:color="auto"/>
        </w:rPr>
        <w:t>变动原因：</w:t>
      </w:r>
      <w:r>
        <w:rPr>
          <w:rFonts w:hint="eastAsia" w:ascii="仿宋_GB2312" w:hAnsi="仿宋_GB2312" w:eastAsia="仿宋_GB2312" w:cs="仿宋_GB2312"/>
          <w:color w:val="000000"/>
          <w:kern w:val="0"/>
          <w:sz w:val="32"/>
          <w:szCs w:val="32"/>
          <w:highlight w:val="none"/>
          <w:u w:val="none" w:color="auto"/>
          <w:lang w:eastAsia="zh-CN"/>
        </w:rPr>
        <w:t>在日常办公费、水费、维修费、劳务费、公车运行维护费中历行节约</w:t>
      </w:r>
      <w:r>
        <w:rPr>
          <w:rFonts w:hint="eastAsia" w:ascii="仿宋_GB2312" w:hAnsi="仿宋_GB2312" w:eastAsia="仿宋_GB2312" w:cs="仿宋_GB2312"/>
          <w:color w:val="000000"/>
          <w:kern w:val="0"/>
          <w:sz w:val="32"/>
          <w:szCs w:val="32"/>
          <w:highlight w:val="none"/>
          <w:u w:val="none" w:color="auto"/>
        </w:rPr>
        <w:t>。其中，机关运行经费支出决算 110.91万元。比上年决算相比，减少5.75万元</w:t>
      </w:r>
      <w:r>
        <w:rPr>
          <w:rFonts w:hint="eastAsia" w:ascii="仿宋_GB2312" w:hAnsi="仿宋_GB2312" w:eastAsia="仿宋_GB2312" w:cs="仿宋_GB2312"/>
          <w:color w:val="000000"/>
          <w:kern w:val="0"/>
          <w:sz w:val="32"/>
          <w:szCs w:val="32"/>
          <w:highlight w:val="none"/>
          <w:u w:val="none" w:color="auto"/>
          <w:lang w:eastAsia="zh-CN"/>
        </w:rPr>
        <w:t>，</w:t>
      </w:r>
      <w:r>
        <w:rPr>
          <w:rFonts w:hint="eastAsia" w:ascii="仿宋_GB2312" w:hAnsi="仿宋_GB2312" w:eastAsia="仿宋_GB2312" w:cs="仿宋_GB2312"/>
          <w:color w:val="000000"/>
          <w:kern w:val="0"/>
          <w:sz w:val="32"/>
          <w:szCs w:val="32"/>
          <w:highlight w:val="none"/>
          <w:u w:val="none" w:color="auto"/>
        </w:rPr>
        <w:t>下降4.93%，变动原因：</w:t>
      </w:r>
      <w:r>
        <w:rPr>
          <w:rFonts w:hint="eastAsia" w:ascii="仿宋_GB2312" w:hAnsi="仿宋_GB2312" w:eastAsia="仿宋_GB2312" w:cs="仿宋_GB2312"/>
          <w:color w:val="000000"/>
          <w:kern w:val="0"/>
          <w:sz w:val="32"/>
          <w:szCs w:val="32"/>
          <w:highlight w:val="none"/>
          <w:u w:val="none" w:color="auto"/>
          <w:lang w:eastAsia="zh-CN"/>
        </w:rPr>
        <w:t>在日常办公费、水费、维修费、劳务费、公车运行维护费中历行节约</w:t>
      </w:r>
      <w:r>
        <w:rPr>
          <w:rFonts w:hint="eastAsia" w:ascii="仿宋_GB2312" w:hAnsi="仿宋_GB2312" w:eastAsia="仿宋_GB2312" w:cs="仿宋_GB2312"/>
          <w:color w:val="000000"/>
          <w:kern w:val="0"/>
          <w:sz w:val="32"/>
          <w:szCs w:val="32"/>
          <w:u w:val="none" w:color="auto"/>
        </w:rPr>
        <w:t>。</w:t>
      </w:r>
    </w:p>
    <w:p w14:paraId="761E7EC1">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1200FF"/>
          <w:kern w:val="0"/>
          <w:sz w:val="32"/>
          <w:szCs w:val="32"/>
          <w:u w:val="none" w:color="auto"/>
        </w:rPr>
        <w:t> </w:t>
      </w:r>
      <w:r>
        <w:rPr>
          <w:rFonts w:hint="eastAsia" w:ascii="仿宋_GB2312" w:hAnsi="仿宋_GB2312" w:eastAsia="仿宋_GB2312" w:cs="仿宋_GB2312"/>
          <w:b/>
          <w:bCs/>
          <w:kern w:val="0"/>
          <w:sz w:val="32"/>
          <w:szCs w:val="32"/>
          <w:u w:val="none" w:color="auto"/>
        </w:rPr>
        <w:t>    十二、政府采购支出决算情况说明</w:t>
      </w:r>
    </w:p>
    <w:p w14:paraId="6847AA87">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kern w:val="0"/>
          <w:sz w:val="32"/>
          <w:szCs w:val="32"/>
          <w:u w:val="none" w:color="auto"/>
        </w:rPr>
        <w:t xml:space="preserve">    </w:t>
      </w:r>
      <w:r>
        <w:rPr>
          <w:rFonts w:hint="eastAsia" w:ascii="仿宋_GB2312" w:hAnsi="仿宋_GB2312" w:eastAsia="仿宋_GB2312" w:cs="仿宋_GB2312"/>
          <w:color w:val="000000"/>
          <w:kern w:val="0"/>
          <w:sz w:val="32"/>
          <w:szCs w:val="32"/>
          <w:u w:val="none" w:color="auto"/>
        </w:rPr>
        <w:t>内蒙古自治区呼伦贝尔市扎兰屯市河西街道办事处 2024年度政府采购支出总额 133.08万元，其中：政府采购货物支出 15.72万元、政府采购工程支出 112.64万元、政府采购服务支出 4.71万元。政府采购授予中小企业合同金额 133.08万元，占政府采购支出总额的</w:t>
      </w:r>
      <w:r>
        <w:rPr>
          <w:rFonts w:hint="eastAsia" w:ascii="仿宋_GB2312" w:hAnsi="仿宋_GB2312" w:eastAsia="仿宋_GB2312" w:cs="仿宋_GB2312"/>
          <w:color w:val="000000"/>
          <w:kern w:val="0"/>
          <w:sz w:val="32"/>
          <w:szCs w:val="32"/>
          <w:u w:val="none" w:color="auto"/>
          <w:lang w:val="en-US" w:eastAsia="zh-CN"/>
        </w:rPr>
        <w:t>100</w:t>
      </w:r>
      <w:r>
        <w:rPr>
          <w:rFonts w:hint="eastAsia" w:ascii="仿宋_GB2312" w:hAnsi="仿宋_GB2312" w:eastAsia="仿宋_GB2312" w:cs="仿宋_GB2312"/>
          <w:color w:val="000000"/>
          <w:kern w:val="0"/>
          <w:sz w:val="32"/>
          <w:szCs w:val="32"/>
          <w:u w:val="none" w:color="auto"/>
        </w:rPr>
        <w:t>%，其中：授予小微企业合同金额  133.08万元，占政府采购支出总额的</w:t>
      </w:r>
      <w:r>
        <w:rPr>
          <w:rFonts w:hint="eastAsia" w:ascii="仿宋_GB2312" w:hAnsi="仿宋_GB2312" w:eastAsia="仿宋_GB2312" w:cs="仿宋_GB2312"/>
          <w:color w:val="000000"/>
          <w:kern w:val="0"/>
          <w:sz w:val="32"/>
          <w:szCs w:val="32"/>
          <w:u w:val="none" w:color="auto"/>
          <w:lang w:val="en-US" w:eastAsia="zh-CN"/>
        </w:rPr>
        <w:t>100</w:t>
      </w:r>
      <w:r>
        <w:rPr>
          <w:rFonts w:hint="eastAsia" w:ascii="仿宋_GB2312" w:hAnsi="仿宋_GB2312" w:eastAsia="仿宋_GB2312" w:cs="仿宋_GB2312"/>
          <w:color w:val="000000"/>
          <w:kern w:val="0"/>
          <w:sz w:val="32"/>
          <w:szCs w:val="32"/>
          <w:u w:val="none" w:color="auto"/>
        </w:rPr>
        <w:t>%；货物采购授予中小企业合同金额占货物支出金额的</w:t>
      </w:r>
      <w:r>
        <w:rPr>
          <w:rFonts w:hint="eastAsia" w:ascii="仿宋_GB2312" w:hAnsi="仿宋_GB2312" w:eastAsia="仿宋_GB2312" w:cs="仿宋_GB2312"/>
          <w:color w:val="000000"/>
          <w:kern w:val="0"/>
          <w:sz w:val="32"/>
          <w:szCs w:val="32"/>
          <w:u w:val="none" w:color="auto"/>
          <w:lang w:val="en-US" w:eastAsia="zh-CN"/>
        </w:rPr>
        <w:t>11.8</w:t>
      </w:r>
      <w:r>
        <w:rPr>
          <w:rFonts w:hint="eastAsia" w:ascii="仿宋_GB2312" w:hAnsi="仿宋_GB2312" w:eastAsia="仿宋_GB2312" w:cs="仿宋_GB2312"/>
          <w:color w:val="000000"/>
          <w:kern w:val="0"/>
          <w:sz w:val="32"/>
          <w:szCs w:val="32"/>
          <w:u w:val="none" w:color="auto"/>
        </w:rPr>
        <w:t>%，工程采购授予中小企业合同金额占工程支出金额的</w:t>
      </w:r>
      <w:r>
        <w:rPr>
          <w:rFonts w:hint="eastAsia" w:ascii="仿宋_GB2312" w:hAnsi="仿宋_GB2312" w:eastAsia="仿宋_GB2312" w:cs="仿宋_GB2312"/>
          <w:color w:val="000000"/>
          <w:kern w:val="0"/>
          <w:sz w:val="32"/>
          <w:szCs w:val="32"/>
          <w:u w:val="none" w:color="auto"/>
          <w:lang w:val="en-US" w:eastAsia="zh-CN"/>
        </w:rPr>
        <w:t>84.7</w:t>
      </w:r>
      <w:r>
        <w:rPr>
          <w:rFonts w:hint="eastAsia" w:ascii="仿宋_GB2312" w:hAnsi="仿宋_GB2312" w:eastAsia="仿宋_GB2312" w:cs="仿宋_GB2312"/>
          <w:color w:val="000000"/>
          <w:kern w:val="0"/>
          <w:sz w:val="32"/>
          <w:szCs w:val="32"/>
          <w:u w:val="none" w:color="auto"/>
        </w:rPr>
        <w:t>%，服务采购授予中小企业合同金额占服务支出金额的</w:t>
      </w:r>
      <w:r>
        <w:rPr>
          <w:rFonts w:hint="eastAsia" w:ascii="仿宋_GB2312" w:hAnsi="仿宋_GB2312" w:eastAsia="仿宋_GB2312" w:cs="仿宋_GB2312"/>
          <w:color w:val="000000"/>
          <w:kern w:val="0"/>
          <w:sz w:val="32"/>
          <w:szCs w:val="32"/>
          <w:u w:val="none" w:color="auto"/>
          <w:lang w:val="en-US" w:eastAsia="zh-CN"/>
        </w:rPr>
        <w:t>3.5</w:t>
      </w:r>
      <w:r>
        <w:rPr>
          <w:rFonts w:hint="eastAsia" w:ascii="仿宋_GB2312" w:hAnsi="仿宋_GB2312" w:eastAsia="仿宋_GB2312" w:cs="仿宋_GB2312"/>
          <w:color w:val="000000"/>
          <w:kern w:val="0"/>
          <w:sz w:val="32"/>
          <w:szCs w:val="32"/>
          <w:u w:val="none" w:color="auto"/>
        </w:rPr>
        <w:t>%。</w:t>
      </w:r>
    </w:p>
    <w:p w14:paraId="249DEEA0">
      <w:pPr>
        <w:widowControl/>
        <w:spacing w:before="240" w:after="240"/>
        <w:jc w:val="left"/>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bCs/>
          <w:kern w:val="0"/>
          <w:sz w:val="32"/>
          <w:szCs w:val="32"/>
          <w:u w:val="none" w:color="auto"/>
        </w:rPr>
        <w:t>    十三、国有资产占用情况说明</w:t>
      </w:r>
    </w:p>
    <w:p w14:paraId="0726F957">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kern w:val="0"/>
          <w:sz w:val="32"/>
          <w:szCs w:val="32"/>
          <w:u w:val="none" w:color="auto"/>
        </w:rPr>
        <w:t>   </w:t>
      </w:r>
      <w:r>
        <w:rPr>
          <w:rFonts w:hint="eastAsia" w:ascii="仿宋_GB2312" w:hAnsi="仿宋_GB2312" w:eastAsia="仿宋_GB2312" w:cs="仿宋_GB2312"/>
          <w:color w:val="000000"/>
          <w:kern w:val="0"/>
          <w:sz w:val="32"/>
          <w:szCs w:val="32"/>
          <w:u w:val="none" w:color="auto"/>
        </w:rPr>
        <w:t xml:space="preserve"> 内蒙古自治区呼伦贝尔市扎兰屯市河西街道办事处 截至2024年12月31日，本部门（单位）共有车辆 2辆，其中：副部（省）级及以上领导用车0 辆、主要负责人用车 0辆、机要通信用车 1辆、应急保障用车 0辆、执法执勤用车 0辆、特种专业技术用车 0辆、离退休干部服务用车 0辆，其他用车 1辆；单价100万元（含）以上的设备（不含车辆） 0台（套）。</w:t>
      </w:r>
    </w:p>
    <w:p w14:paraId="6CCAFF0E">
      <w:pPr>
        <w:widowControl/>
        <w:spacing w:before="240" w:after="240"/>
        <w:jc w:val="left"/>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bCs/>
          <w:kern w:val="0"/>
          <w:sz w:val="32"/>
          <w:szCs w:val="32"/>
          <w:u w:val="none" w:color="auto"/>
        </w:rPr>
        <w:t>    十四、预算绩效情况说明</w:t>
      </w:r>
    </w:p>
    <w:p w14:paraId="5287CB59">
      <w:pPr>
        <w:widowControl/>
        <w:spacing w:before="240" w:after="240"/>
        <w:jc w:val="left"/>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bCs/>
          <w:kern w:val="0"/>
          <w:sz w:val="32"/>
          <w:szCs w:val="32"/>
          <w:u w:val="none" w:color="auto"/>
        </w:rPr>
        <w:t>    （一）预算绩效管理工作开展情况。</w:t>
      </w:r>
    </w:p>
    <w:p w14:paraId="40346842">
      <w:pPr>
        <w:widowControl/>
        <w:spacing w:before="240" w:after="240"/>
        <w:ind w:firstLine="420"/>
        <w:rPr>
          <w:rFonts w:hint="eastAsia" w:ascii="仿宋_GB2312" w:hAnsi="仿宋_GB2312" w:eastAsia="仿宋_GB2312" w:cs="仿宋_GB2312"/>
          <w:color w:val="000000"/>
          <w:kern w:val="0"/>
          <w:sz w:val="32"/>
          <w:szCs w:val="32"/>
          <w:u w:val="none" w:color="auto"/>
          <w:lang w:eastAsia="zh-CN"/>
        </w:rPr>
      </w:pPr>
      <w:r>
        <w:rPr>
          <w:rFonts w:hint="eastAsia" w:ascii="仿宋_GB2312" w:hAnsi="仿宋_GB2312" w:eastAsia="仿宋_GB2312" w:cs="仿宋_GB2312"/>
          <w:color w:val="000000"/>
          <w:kern w:val="0"/>
          <w:sz w:val="32"/>
          <w:szCs w:val="32"/>
          <w:u w:val="none" w:color="auto"/>
        </w:rPr>
        <w:t>内蒙古自治区呼伦贝尔市扎兰屯市河西街道办事处 根据预算绩效管理要求组织对2024年一般公共预算项目支出全面开展绩效自评，其中一级项目</w:t>
      </w:r>
      <w:r>
        <w:rPr>
          <w:rFonts w:hint="eastAsia" w:ascii="仿宋_GB2312" w:hAnsi="仿宋_GB2312" w:eastAsia="仿宋_GB2312" w:cs="仿宋_GB2312"/>
          <w:color w:val="000000"/>
          <w:kern w:val="0"/>
          <w:sz w:val="32"/>
          <w:szCs w:val="32"/>
          <w:u w:val="none" w:color="auto"/>
          <w:lang w:val="en-US" w:eastAsia="zh-CN"/>
        </w:rPr>
        <w:t>0</w:t>
      </w:r>
      <w:r>
        <w:rPr>
          <w:rFonts w:hint="eastAsia" w:ascii="仿宋_GB2312" w:hAnsi="仿宋_GB2312" w:eastAsia="仿宋_GB2312" w:cs="仿宋_GB2312"/>
          <w:color w:val="000000"/>
          <w:kern w:val="0"/>
          <w:sz w:val="32"/>
          <w:szCs w:val="32"/>
          <w:u w:val="none" w:color="auto"/>
        </w:rPr>
        <w:t>个，二级项目</w:t>
      </w:r>
      <w:r>
        <w:rPr>
          <w:rFonts w:hint="eastAsia" w:ascii="仿宋_GB2312" w:hAnsi="仿宋_GB2312" w:eastAsia="仿宋_GB2312" w:cs="仿宋_GB2312"/>
          <w:color w:val="000000"/>
          <w:kern w:val="0"/>
          <w:sz w:val="32"/>
          <w:szCs w:val="32"/>
          <w:u w:val="none" w:color="auto"/>
          <w:lang w:val="en-US" w:eastAsia="zh-CN"/>
        </w:rPr>
        <w:t>3</w:t>
      </w:r>
      <w:r>
        <w:rPr>
          <w:rFonts w:hint="eastAsia" w:ascii="仿宋_GB2312" w:hAnsi="仿宋_GB2312" w:eastAsia="仿宋_GB2312" w:cs="仿宋_GB2312"/>
          <w:color w:val="000000"/>
          <w:kern w:val="0"/>
          <w:sz w:val="32"/>
          <w:szCs w:val="32"/>
          <w:u w:val="none" w:color="auto"/>
        </w:rPr>
        <w:t>个，共涉及资金</w:t>
      </w:r>
      <w:r>
        <w:rPr>
          <w:rFonts w:hint="eastAsia" w:ascii="仿宋_GB2312" w:hAnsi="仿宋_GB2312" w:eastAsia="仿宋_GB2312" w:cs="仿宋_GB2312"/>
          <w:color w:val="000000"/>
          <w:kern w:val="0"/>
          <w:sz w:val="32"/>
          <w:szCs w:val="32"/>
          <w:u w:val="none" w:color="auto"/>
          <w:lang w:val="en-US" w:eastAsia="zh-CN"/>
        </w:rPr>
        <w:t>95.94</w:t>
      </w:r>
      <w:r>
        <w:rPr>
          <w:rFonts w:hint="eastAsia" w:ascii="仿宋_GB2312" w:hAnsi="仿宋_GB2312" w:eastAsia="仿宋_GB2312" w:cs="仿宋_GB2312"/>
          <w:color w:val="000000"/>
          <w:kern w:val="0"/>
          <w:sz w:val="32"/>
          <w:szCs w:val="32"/>
          <w:u w:val="none" w:color="auto"/>
        </w:rPr>
        <w:t>万元，占一般公共预算项目支出总额的100%；政府性基金预算项目</w:t>
      </w:r>
      <w:r>
        <w:rPr>
          <w:rFonts w:hint="eastAsia" w:ascii="仿宋_GB2312" w:hAnsi="仿宋_GB2312" w:eastAsia="仿宋_GB2312" w:cs="仿宋_GB2312"/>
          <w:color w:val="000000"/>
          <w:kern w:val="0"/>
          <w:sz w:val="32"/>
          <w:szCs w:val="32"/>
          <w:u w:val="none" w:color="auto"/>
          <w:lang w:val="en-US" w:eastAsia="zh-CN"/>
        </w:rPr>
        <w:t>0</w:t>
      </w:r>
      <w:r>
        <w:rPr>
          <w:rFonts w:hint="eastAsia" w:ascii="仿宋_GB2312" w:hAnsi="仿宋_GB2312" w:eastAsia="仿宋_GB2312" w:cs="仿宋_GB2312"/>
          <w:color w:val="000000"/>
          <w:kern w:val="0"/>
          <w:sz w:val="32"/>
          <w:szCs w:val="32"/>
          <w:u w:val="none" w:color="auto"/>
        </w:rPr>
        <w:t>个，其中，一级项目 </w:t>
      </w:r>
      <w:r>
        <w:rPr>
          <w:rFonts w:hint="eastAsia" w:ascii="仿宋_GB2312" w:hAnsi="仿宋_GB2312" w:eastAsia="仿宋_GB2312" w:cs="仿宋_GB2312"/>
          <w:color w:val="000000"/>
          <w:kern w:val="0"/>
          <w:sz w:val="32"/>
          <w:szCs w:val="32"/>
          <w:u w:val="none" w:color="auto"/>
          <w:lang w:val="en-US" w:eastAsia="zh-CN"/>
        </w:rPr>
        <w:t>0</w:t>
      </w:r>
      <w:r>
        <w:rPr>
          <w:rFonts w:hint="eastAsia" w:ascii="仿宋_GB2312" w:hAnsi="仿宋_GB2312" w:eastAsia="仿宋_GB2312" w:cs="仿宋_GB2312"/>
          <w:color w:val="000000"/>
          <w:kern w:val="0"/>
          <w:sz w:val="32"/>
          <w:szCs w:val="32"/>
          <w:u w:val="none" w:color="auto"/>
        </w:rPr>
        <w:t>个，二级项目</w:t>
      </w:r>
      <w:r>
        <w:rPr>
          <w:rFonts w:hint="eastAsia" w:ascii="仿宋_GB2312" w:hAnsi="仿宋_GB2312" w:eastAsia="仿宋_GB2312" w:cs="仿宋_GB2312"/>
          <w:color w:val="000000"/>
          <w:kern w:val="0"/>
          <w:sz w:val="32"/>
          <w:szCs w:val="32"/>
          <w:u w:val="none" w:color="auto"/>
          <w:lang w:val="en-US" w:eastAsia="zh-CN"/>
        </w:rPr>
        <w:t>0</w:t>
      </w:r>
      <w:r>
        <w:rPr>
          <w:rFonts w:hint="eastAsia" w:ascii="仿宋_GB2312" w:hAnsi="仿宋_GB2312" w:eastAsia="仿宋_GB2312" w:cs="仿宋_GB2312"/>
          <w:color w:val="000000"/>
          <w:kern w:val="0"/>
          <w:sz w:val="32"/>
          <w:szCs w:val="32"/>
          <w:u w:val="none" w:color="auto"/>
        </w:rPr>
        <w:t>个，共涉及资金</w:t>
      </w:r>
      <w:r>
        <w:rPr>
          <w:rFonts w:hint="eastAsia" w:ascii="仿宋_GB2312" w:hAnsi="仿宋_GB2312" w:eastAsia="仿宋_GB2312" w:cs="仿宋_GB2312"/>
          <w:color w:val="000000"/>
          <w:kern w:val="0"/>
          <w:sz w:val="32"/>
          <w:szCs w:val="32"/>
          <w:u w:val="none" w:color="auto"/>
          <w:lang w:val="en-US" w:eastAsia="zh-CN"/>
        </w:rPr>
        <w:t>0</w:t>
      </w:r>
      <w:r>
        <w:rPr>
          <w:rFonts w:hint="eastAsia" w:ascii="仿宋_GB2312" w:hAnsi="仿宋_GB2312" w:eastAsia="仿宋_GB2312" w:cs="仿宋_GB2312"/>
          <w:color w:val="000000"/>
          <w:kern w:val="0"/>
          <w:sz w:val="32"/>
          <w:szCs w:val="32"/>
          <w:u w:val="none" w:color="auto"/>
        </w:rPr>
        <w:t>万元，占应纳入绩效自评的政府性基金预算项目支出总额的100%</w:t>
      </w:r>
      <w:r>
        <w:rPr>
          <w:rFonts w:hint="eastAsia" w:ascii="仿宋_GB2312" w:hAnsi="仿宋_GB2312" w:eastAsia="仿宋_GB2312" w:cs="仿宋_GB2312"/>
          <w:color w:val="000000"/>
          <w:kern w:val="0"/>
          <w:sz w:val="32"/>
          <w:szCs w:val="32"/>
          <w:u w:val="none" w:color="auto"/>
          <w:lang w:eastAsia="zh-CN"/>
        </w:rPr>
        <w:t>。</w:t>
      </w:r>
    </w:p>
    <w:p w14:paraId="2FC4F790">
      <w:pPr>
        <w:widowControl/>
        <w:spacing w:before="240" w:after="240"/>
        <w:ind w:firstLine="42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00000"/>
          <w:kern w:val="0"/>
          <w:sz w:val="32"/>
          <w:szCs w:val="32"/>
          <w:u w:val="none" w:color="auto"/>
        </w:rPr>
        <w:t>    组织对“</w:t>
      </w:r>
      <w:r>
        <w:rPr>
          <w:rFonts w:hint="eastAsia" w:ascii="仿宋_GB2312" w:hAnsi="仿宋_GB2312" w:eastAsia="仿宋_GB2312" w:cs="仿宋_GB2312"/>
          <w:color w:val="000000"/>
          <w:kern w:val="0"/>
          <w:sz w:val="32"/>
          <w:szCs w:val="32"/>
          <w:u w:val="none" w:color="auto"/>
          <w:lang w:eastAsia="zh-CN"/>
        </w:rPr>
        <w:t>社区党组织服务群众</w:t>
      </w:r>
      <w:r>
        <w:rPr>
          <w:rFonts w:hint="eastAsia" w:ascii="仿宋_GB2312" w:hAnsi="仿宋_GB2312" w:eastAsia="仿宋_GB2312" w:cs="仿宋_GB2312"/>
          <w:color w:val="000000"/>
          <w:kern w:val="0"/>
          <w:sz w:val="32"/>
          <w:szCs w:val="32"/>
          <w:u w:val="none" w:color="auto"/>
        </w:rPr>
        <w:t>项目”、“</w:t>
      </w:r>
      <w:r>
        <w:rPr>
          <w:rFonts w:hint="eastAsia" w:ascii="仿宋_GB2312" w:hAnsi="仿宋_GB2312" w:eastAsia="仿宋_GB2312" w:cs="仿宋_GB2312"/>
          <w:color w:val="000000"/>
          <w:kern w:val="0"/>
          <w:sz w:val="32"/>
          <w:szCs w:val="32"/>
          <w:u w:val="none" w:color="auto"/>
          <w:lang w:eastAsia="zh-CN"/>
        </w:rPr>
        <w:t>社区党组织工作经费</w:t>
      </w:r>
      <w:r>
        <w:rPr>
          <w:rFonts w:hint="eastAsia" w:ascii="仿宋_GB2312" w:hAnsi="仿宋_GB2312" w:eastAsia="仿宋_GB2312" w:cs="仿宋_GB2312"/>
          <w:color w:val="000000"/>
          <w:kern w:val="0"/>
          <w:sz w:val="32"/>
          <w:szCs w:val="32"/>
          <w:u w:val="none" w:color="auto"/>
        </w:rPr>
        <w:t>项目”、“</w:t>
      </w:r>
      <w:r>
        <w:rPr>
          <w:rFonts w:hint="eastAsia" w:ascii="仿宋_GB2312" w:hAnsi="仿宋_GB2312" w:eastAsia="仿宋_GB2312" w:cs="仿宋_GB2312"/>
          <w:color w:val="000000"/>
          <w:kern w:val="0"/>
          <w:sz w:val="32"/>
          <w:szCs w:val="32"/>
          <w:u w:val="none" w:color="auto"/>
          <w:lang w:eastAsia="zh-CN"/>
        </w:rPr>
        <w:t>郑家沟水毁工程修复</w:t>
      </w:r>
      <w:r>
        <w:rPr>
          <w:rFonts w:hint="eastAsia" w:ascii="仿宋_GB2312" w:hAnsi="仿宋_GB2312" w:eastAsia="仿宋_GB2312" w:cs="仿宋_GB2312"/>
          <w:color w:val="000000"/>
          <w:kern w:val="0"/>
          <w:sz w:val="32"/>
          <w:szCs w:val="32"/>
          <w:u w:val="none" w:color="auto"/>
        </w:rPr>
        <w:t>项目”等 </w:t>
      </w:r>
      <w:r>
        <w:rPr>
          <w:rFonts w:hint="eastAsia" w:ascii="仿宋_GB2312" w:hAnsi="仿宋_GB2312" w:eastAsia="仿宋_GB2312" w:cs="仿宋_GB2312"/>
          <w:color w:val="000000"/>
          <w:kern w:val="0"/>
          <w:sz w:val="32"/>
          <w:szCs w:val="32"/>
          <w:u w:val="none" w:color="auto"/>
          <w:lang w:val="en-US" w:eastAsia="zh-CN"/>
        </w:rPr>
        <w:t>3</w:t>
      </w:r>
      <w:r>
        <w:rPr>
          <w:rFonts w:hint="eastAsia" w:ascii="仿宋_GB2312" w:hAnsi="仿宋_GB2312" w:eastAsia="仿宋_GB2312" w:cs="仿宋_GB2312"/>
          <w:color w:val="000000"/>
          <w:kern w:val="0"/>
          <w:sz w:val="32"/>
          <w:szCs w:val="32"/>
          <w:u w:val="none" w:color="auto"/>
        </w:rPr>
        <w:t>个项目开展了部门评价，涉及一般公共预算支出</w:t>
      </w:r>
      <w:r>
        <w:rPr>
          <w:rFonts w:hint="eastAsia" w:ascii="仿宋_GB2312" w:hAnsi="仿宋_GB2312" w:eastAsia="仿宋_GB2312" w:cs="仿宋_GB2312"/>
          <w:color w:val="000000"/>
          <w:kern w:val="0"/>
          <w:sz w:val="32"/>
          <w:szCs w:val="32"/>
          <w:u w:val="none" w:color="auto"/>
          <w:lang w:val="en-US" w:eastAsia="zh-CN"/>
        </w:rPr>
        <w:t>95.94</w:t>
      </w:r>
      <w:r>
        <w:rPr>
          <w:rFonts w:hint="eastAsia" w:ascii="仿宋_GB2312" w:hAnsi="仿宋_GB2312" w:eastAsia="仿宋_GB2312" w:cs="仿宋_GB2312"/>
          <w:color w:val="000000"/>
          <w:kern w:val="0"/>
          <w:sz w:val="32"/>
          <w:szCs w:val="32"/>
          <w:u w:val="none" w:color="auto"/>
        </w:rPr>
        <w:t>万元，政府性基金支出</w:t>
      </w:r>
      <w:r>
        <w:rPr>
          <w:rFonts w:hint="eastAsia" w:ascii="仿宋_GB2312" w:hAnsi="仿宋_GB2312" w:eastAsia="仿宋_GB2312" w:cs="仿宋_GB2312"/>
          <w:color w:val="000000"/>
          <w:kern w:val="0"/>
          <w:sz w:val="32"/>
          <w:szCs w:val="32"/>
          <w:u w:val="none" w:color="auto"/>
          <w:lang w:val="en-US" w:eastAsia="zh-CN"/>
        </w:rPr>
        <w:t>0</w:t>
      </w:r>
      <w:r>
        <w:rPr>
          <w:rFonts w:hint="eastAsia" w:ascii="仿宋_GB2312" w:hAnsi="仿宋_GB2312" w:eastAsia="仿宋_GB2312" w:cs="仿宋_GB2312"/>
          <w:color w:val="000000"/>
          <w:kern w:val="0"/>
          <w:sz w:val="32"/>
          <w:szCs w:val="32"/>
          <w:u w:val="none" w:color="auto"/>
        </w:rPr>
        <w:t>万元。</w:t>
      </w:r>
      <w:r>
        <w:rPr>
          <w:rFonts w:hint="eastAsia" w:ascii="仿宋_GB2312" w:hAnsi="仿宋_GB2312" w:eastAsia="仿宋_GB2312" w:cs="仿宋_GB2312"/>
          <w:kern w:val="0"/>
          <w:sz w:val="32"/>
          <w:szCs w:val="32"/>
          <w:u w:val="none" w:color="auto"/>
        </w:rPr>
        <w:t>其中，</w:t>
      </w:r>
      <w:r>
        <w:rPr>
          <w:rFonts w:hint="eastAsia" w:ascii="仿宋_GB2312" w:hAnsi="仿宋_GB2312" w:eastAsia="仿宋_GB2312" w:cs="仿宋_GB2312"/>
          <w:color w:val="000000"/>
          <w:kern w:val="0"/>
          <w:sz w:val="32"/>
          <w:szCs w:val="32"/>
          <w:u w:val="none" w:color="auto"/>
        </w:rPr>
        <w:t>“</w:t>
      </w:r>
      <w:r>
        <w:rPr>
          <w:rFonts w:hint="eastAsia" w:ascii="仿宋_GB2312" w:hAnsi="仿宋_GB2312" w:eastAsia="仿宋_GB2312" w:cs="仿宋_GB2312"/>
          <w:color w:val="000000"/>
          <w:kern w:val="0"/>
          <w:sz w:val="32"/>
          <w:szCs w:val="32"/>
          <w:u w:val="none" w:color="auto"/>
          <w:lang w:eastAsia="zh-CN"/>
        </w:rPr>
        <w:t>社区党组织服务群众</w:t>
      </w:r>
      <w:r>
        <w:rPr>
          <w:rFonts w:hint="eastAsia" w:ascii="仿宋_GB2312" w:hAnsi="仿宋_GB2312" w:eastAsia="仿宋_GB2312" w:cs="仿宋_GB2312"/>
          <w:color w:val="000000"/>
          <w:kern w:val="0"/>
          <w:sz w:val="32"/>
          <w:szCs w:val="32"/>
          <w:u w:val="none" w:color="auto"/>
        </w:rPr>
        <w:t>项目”、“</w:t>
      </w:r>
      <w:r>
        <w:rPr>
          <w:rFonts w:hint="eastAsia" w:ascii="仿宋_GB2312" w:hAnsi="仿宋_GB2312" w:eastAsia="仿宋_GB2312" w:cs="仿宋_GB2312"/>
          <w:color w:val="000000"/>
          <w:kern w:val="0"/>
          <w:sz w:val="32"/>
          <w:szCs w:val="32"/>
          <w:u w:val="none" w:color="auto"/>
          <w:lang w:eastAsia="zh-CN"/>
        </w:rPr>
        <w:t>社区党组织工作经费</w:t>
      </w:r>
      <w:r>
        <w:rPr>
          <w:rFonts w:hint="eastAsia" w:ascii="仿宋_GB2312" w:hAnsi="仿宋_GB2312" w:eastAsia="仿宋_GB2312" w:cs="仿宋_GB2312"/>
          <w:color w:val="000000"/>
          <w:kern w:val="0"/>
          <w:sz w:val="32"/>
          <w:szCs w:val="32"/>
          <w:u w:val="none" w:color="auto"/>
        </w:rPr>
        <w:t>项目”、“</w:t>
      </w:r>
      <w:r>
        <w:rPr>
          <w:rFonts w:hint="eastAsia" w:ascii="仿宋_GB2312" w:hAnsi="仿宋_GB2312" w:eastAsia="仿宋_GB2312" w:cs="仿宋_GB2312"/>
          <w:color w:val="000000"/>
          <w:kern w:val="0"/>
          <w:sz w:val="32"/>
          <w:szCs w:val="32"/>
          <w:u w:val="none" w:color="auto"/>
          <w:lang w:eastAsia="zh-CN"/>
        </w:rPr>
        <w:t>郑家沟水毁工程修复</w:t>
      </w:r>
      <w:r>
        <w:rPr>
          <w:rFonts w:hint="eastAsia" w:ascii="仿宋_GB2312" w:hAnsi="仿宋_GB2312" w:eastAsia="仿宋_GB2312" w:cs="仿宋_GB2312"/>
          <w:color w:val="000000"/>
          <w:kern w:val="0"/>
          <w:sz w:val="32"/>
          <w:szCs w:val="32"/>
          <w:u w:val="none" w:color="auto"/>
        </w:rPr>
        <w:t>项目”</w:t>
      </w:r>
      <w:r>
        <w:rPr>
          <w:rFonts w:hint="eastAsia" w:ascii="仿宋_GB2312" w:hAnsi="仿宋_GB2312" w:eastAsia="仿宋_GB2312" w:cs="仿宋_GB2312"/>
          <w:kern w:val="0"/>
          <w:sz w:val="32"/>
          <w:szCs w:val="32"/>
          <w:u w:val="none" w:color="auto"/>
        </w:rPr>
        <w:t>等项目分别</w:t>
      </w:r>
      <w:r>
        <w:rPr>
          <w:rFonts w:hint="eastAsia" w:ascii="仿宋_GB2312" w:hAnsi="仿宋_GB2312" w:eastAsia="仿宋_GB2312" w:cs="仿宋_GB2312"/>
          <w:kern w:val="0"/>
          <w:sz w:val="32"/>
          <w:szCs w:val="32"/>
          <w:u w:val="none" w:color="auto"/>
          <w:lang w:eastAsia="zh-CN"/>
        </w:rPr>
        <w:t>自行开展绩效评价，没有</w:t>
      </w:r>
      <w:r>
        <w:rPr>
          <w:rFonts w:hint="eastAsia" w:ascii="仿宋_GB2312" w:hAnsi="仿宋_GB2312" w:eastAsia="仿宋_GB2312" w:cs="仿宋_GB2312"/>
          <w:kern w:val="0"/>
          <w:sz w:val="32"/>
          <w:szCs w:val="32"/>
          <w:u w:val="none" w:color="auto"/>
        </w:rPr>
        <w:t>委托相关第三方机构开展绩效评价。从评价情况看，以上项目</w:t>
      </w:r>
      <w:r>
        <w:rPr>
          <w:rFonts w:hint="eastAsia" w:ascii="仿宋_GB2312" w:hAnsi="仿宋_GB2312" w:eastAsia="仿宋_GB2312" w:cs="仿宋_GB2312"/>
          <w:kern w:val="0"/>
          <w:sz w:val="32"/>
          <w:szCs w:val="32"/>
          <w:u w:val="none" w:color="auto"/>
          <w:lang w:eastAsia="zh-CN"/>
        </w:rPr>
        <w:t>资金总体达到了预期目标充分发挥了项目资金应有的效益。</w:t>
      </w:r>
    </w:p>
    <w:p w14:paraId="0B94EF32">
      <w:pPr>
        <w:widowControl/>
        <w:spacing w:before="240" w:after="240"/>
        <w:jc w:val="left"/>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b/>
          <w:bCs/>
          <w:color w:val="000000"/>
          <w:kern w:val="0"/>
          <w:sz w:val="32"/>
          <w:szCs w:val="32"/>
          <w:u w:val="none" w:color="auto"/>
        </w:rPr>
        <w:t>    （二）部门（单位）决算中项目绩效自评结果。</w:t>
      </w:r>
    </w:p>
    <w:p w14:paraId="3DEDF189">
      <w:pPr>
        <w:widowControl/>
        <w:spacing w:before="240" w:after="240"/>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00000"/>
          <w:kern w:val="0"/>
          <w:sz w:val="32"/>
          <w:szCs w:val="32"/>
          <w:u w:val="none" w:color="auto"/>
        </w:rPr>
        <w:t>    内蒙古自治区呼伦贝尔市扎兰屯市河西街道办事处 2024年度在决算中反映</w:t>
      </w:r>
      <w:r>
        <w:rPr>
          <w:rFonts w:hint="eastAsia" w:ascii="仿宋_GB2312" w:hAnsi="仿宋_GB2312" w:eastAsia="仿宋_GB2312" w:cs="仿宋_GB2312"/>
          <w:color w:val="000000"/>
          <w:kern w:val="0"/>
          <w:sz w:val="32"/>
          <w:szCs w:val="32"/>
          <w:u w:val="none" w:color="auto"/>
          <w:lang w:val="en-US" w:eastAsia="zh-CN"/>
        </w:rPr>
        <w:t>3</w:t>
      </w:r>
      <w:r>
        <w:rPr>
          <w:rFonts w:hint="eastAsia" w:ascii="仿宋_GB2312" w:hAnsi="仿宋_GB2312" w:eastAsia="仿宋_GB2312" w:cs="仿宋_GB2312"/>
          <w:color w:val="000000"/>
          <w:kern w:val="0"/>
          <w:sz w:val="32"/>
          <w:szCs w:val="32"/>
          <w:u w:val="none" w:color="auto"/>
        </w:rPr>
        <w:t>个一般公共预算项目，以及</w:t>
      </w:r>
      <w:r>
        <w:rPr>
          <w:rFonts w:hint="eastAsia" w:ascii="仿宋_GB2312" w:hAnsi="仿宋_GB2312" w:eastAsia="仿宋_GB2312" w:cs="仿宋_GB2312"/>
          <w:color w:val="000000"/>
          <w:kern w:val="0"/>
          <w:sz w:val="32"/>
          <w:szCs w:val="32"/>
          <w:u w:val="none" w:color="auto"/>
          <w:lang w:val="en-US" w:eastAsia="zh-CN"/>
        </w:rPr>
        <w:t>0</w:t>
      </w:r>
      <w:r>
        <w:rPr>
          <w:rFonts w:hint="eastAsia" w:ascii="仿宋_GB2312" w:hAnsi="仿宋_GB2312" w:eastAsia="仿宋_GB2312" w:cs="仿宋_GB2312"/>
          <w:color w:val="000000"/>
          <w:kern w:val="0"/>
          <w:sz w:val="32"/>
          <w:szCs w:val="32"/>
          <w:u w:val="none" w:color="auto"/>
        </w:rPr>
        <w:t>个政府性基金项目，共</w:t>
      </w:r>
      <w:r>
        <w:rPr>
          <w:rFonts w:hint="eastAsia" w:ascii="仿宋_GB2312" w:hAnsi="仿宋_GB2312" w:eastAsia="仿宋_GB2312" w:cs="仿宋_GB2312"/>
          <w:color w:val="000000"/>
          <w:kern w:val="0"/>
          <w:sz w:val="32"/>
          <w:szCs w:val="32"/>
          <w:u w:val="none" w:color="auto"/>
          <w:lang w:val="en-US" w:eastAsia="zh-CN"/>
        </w:rPr>
        <w:t>3</w:t>
      </w:r>
      <w:r>
        <w:rPr>
          <w:rFonts w:hint="eastAsia" w:ascii="仿宋_GB2312" w:hAnsi="仿宋_GB2312" w:eastAsia="仿宋_GB2312" w:cs="仿宋_GB2312"/>
          <w:color w:val="000000"/>
          <w:kern w:val="0"/>
          <w:sz w:val="32"/>
          <w:szCs w:val="32"/>
          <w:u w:val="none" w:color="auto"/>
        </w:rPr>
        <w:t>个项目的绩效自评结果。</w:t>
      </w:r>
    </w:p>
    <w:p w14:paraId="23D678EC">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kern w:val="0"/>
          <w:sz w:val="32"/>
          <w:szCs w:val="32"/>
          <w:u w:val="none" w:color="auto"/>
        </w:rPr>
      </w:pPr>
      <w:r>
        <w:rPr>
          <w:rFonts w:hint="eastAsia" w:ascii="仿宋_GB2312" w:hAnsi="仿宋_GB2312" w:eastAsia="仿宋_GB2312" w:cs="仿宋_GB2312"/>
          <w:color w:val="000000"/>
          <w:kern w:val="0"/>
          <w:sz w:val="32"/>
          <w:szCs w:val="32"/>
          <w:u w:val="none" w:color="auto"/>
        </w:rPr>
        <w:t>    1</w:t>
      </w:r>
      <w:r>
        <w:rPr>
          <w:rFonts w:hint="eastAsia" w:ascii="仿宋_GB2312" w:hAnsi="仿宋_GB2312" w:eastAsia="仿宋_GB2312" w:cs="仿宋_GB2312"/>
          <w:color w:val="000000"/>
          <w:kern w:val="0"/>
          <w:sz w:val="32"/>
          <w:szCs w:val="32"/>
          <w:u w:val="none" w:color="auto"/>
          <w:lang w:eastAsia="zh-CN"/>
        </w:rPr>
        <w:t>社区党组织服务群众</w:t>
      </w:r>
      <w:r>
        <w:rPr>
          <w:rFonts w:hint="eastAsia" w:ascii="仿宋_GB2312" w:hAnsi="仿宋_GB2312" w:eastAsia="仿宋_GB2312" w:cs="仿宋_GB2312"/>
          <w:color w:val="000000"/>
          <w:kern w:val="0"/>
          <w:sz w:val="32"/>
          <w:szCs w:val="32"/>
          <w:u w:val="none" w:color="auto"/>
        </w:rPr>
        <w:t>项目项目自评综述：根据年初设定的绩效目标，项目自评得分</w:t>
      </w:r>
      <w:r>
        <w:rPr>
          <w:rFonts w:hint="eastAsia" w:ascii="仿宋_GB2312" w:hAnsi="仿宋_GB2312" w:eastAsia="仿宋_GB2312" w:cs="仿宋_GB2312"/>
          <w:color w:val="000000"/>
          <w:kern w:val="0"/>
          <w:sz w:val="32"/>
          <w:szCs w:val="32"/>
          <w:u w:val="none" w:color="auto"/>
          <w:lang w:val="en-US" w:eastAsia="zh-CN"/>
        </w:rPr>
        <w:t>100</w:t>
      </w:r>
      <w:r>
        <w:rPr>
          <w:rFonts w:hint="eastAsia" w:ascii="仿宋_GB2312" w:hAnsi="仿宋_GB2312" w:eastAsia="仿宋_GB2312" w:cs="仿宋_GB2312"/>
          <w:color w:val="000000"/>
          <w:kern w:val="0"/>
          <w:sz w:val="32"/>
          <w:szCs w:val="32"/>
          <w:u w:val="none" w:color="auto"/>
        </w:rPr>
        <w:t>分。全年预算数为</w:t>
      </w:r>
      <w:r>
        <w:rPr>
          <w:rFonts w:hint="eastAsia" w:ascii="仿宋_GB2312" w:hAnsi="仿宋_GB2312" w:eastAsia="仿宋_GB2312" w:cs="仿宋_GB2312"/>
          <w:color w:val="000000"/>
          <w:kern w:val="0"/>
          <w:sz w:val="32"/>
          <w:szCs w:val="32"/>
          <w:u w:val="none" w:color="auto"/>
          <w:lang w:val="en-US" w:eastAsia="zh-CN"/>
        </w:rPr>
        <w:t>60</w:t>
      </w:r>
      <w:r>
        <w:rPr>
          <w:rFonts w:hint="eastAsia" w:ascii="仿宋_GB2312" w:hAnsi="仿宋_GB2312" w:eastAsia="仿宋_GB2312" w:cs="仿宋_GB2312"/>
          <w:color w:val="000000"/>
          <w:kern w:val="0"/>
          <w:sz w:val="32"/>
          <w:szCs w:val="32"/>
          <w:u w:val="none" w:color="auto"/>
        </w:rPr>
        <w:t>万元，执行数为</w:t>
      </w:r>
      <w:r>
        <w:rPr>
          <w:rFonts w:hint="eastAsia" w:ascii="仿宋_GB2312" w:hAnsi="仿宋_GB2312" w:eastAsia="仿宋_GB2312" w:cs="仿宋_GB2312"/>
          <w:color w:val="000000"/>
          <w:kern w:val="0"/>
          <w:sz w:val="32"/>
          <w:szCs w:val="32"/>
          <w:u w:val="none" w:color="auto"/>
          <w:lang w:val="en-US" w:eastAsia="zh-CN"/>
        </w:rPr>
        <w:t>60</w:t>
      </w:r>
      <w:r>
        <w:rPr>
          <w:rFonts w:hint="eastAsia" w:ascii="仿宋_GB2312" w:hAnsi="仿宋_GB2312" w:eastAsia="仿宋_GB2312" w:cs="仿宋_GB2312"/>
          <w:color w:val="000000"/>
          <w:kern w:val="0"/>
          <w:sz w:val="32"/>
          <w:szCs w:val="32"/>
          <w:u w:val="none" w:color="auto"/>
        </w:rPr>
        <w:t>万元，完成预算的</w:t>
      </w:r>
      <w:r>
        <w:rPr>
          <w:rFonts w:hint="eastAsia" w:ascii="仿宋_GB2312" w:hAnsi="仿宋_GB2312" w:eastAsia="仿宋_GB2312" w:cs="仿宋_GB2312"/>
          <w:color w:val="000000"/>
          <w:kern w:val="0"/>
          <w:sz w:val="32"/>
          <w:szCs w:val="32"/>
          <w:u w:val="none" w:color="auto"/>
          <w:lang w:val="en-US" w:eastAsia="zh-CN"/>
        </w:rPr>
        <w:t>100</w:t>
      </w:r>
      <w:r>
        <w:rPr>
          <w:rFonts w:hint="eastAsia" w:ascii="仿宋_GB2312" w:hAnsi="仿宋_GB2312" w:eastAsia="仿宋_GB2312" w:cs="仿宋_GB2312"/>
          <w:color w:val="000000"/>
          <w:kern w:val="0"/>
          <w:sz w:val="32"/>
          <w:szCs w:val="32"/>
          <w:u w:val="none" w:color="auto"/>
        </w:rPr>
        <w:t>%。项目绩效目标完成情况：</w:t>
      </w:r>
      <w:r>
        <w:rPr>
          <w:rFonts w:hint="eastAsia" w:ascii="仿宋_GB2312" w:hAnsi="仿宋_GB2312" w:eastAsia="仿宋_GB2312" w:cs="仿宋_GB2312"/>
          <w:kern w:val="2"/>
          <w:sz w:val="32"/>
          <w:szCs w:val="32"/>
          <w:u w:val="none" w:color="auto"/>
          <w:lang w:val="en-US" w:eastAsia="zh-CN"/>
        </w:rPr>
        <w:t xml:space="preserve"> 2024年社区党组织服务群众资金为辖区居民修建排洪沟，清理垃圾，解决居民汛期出行难问题，组织群众活动、帮扶困难群体，为小区更换社会主义核心价值观图版等。提升了社区党组织组织力和服务水平。</w:t>
      </w:r>
      <w:r>
        <w:rPr>
          <w:rFonts w:hint="eastAsia" w:ascii="仿宋_GB2312" w:hAnsi="仿宋_GB2312" w:eastAsia="仿宋_GB2312" w:cs="仿宋_GB2312"/>
          <w:color w:val="000000"/>
          <w:kern w:val="0"/>
          <w:sz w:val="32"/>
          <w:szCs w:val="32"/>
          <w:u w:val="none" w:color="auto"/>
        </w:rPr>
        <w:t>发现的主要问题及原因：</w:t>
      </w:r>
      <w:r>
        <w:rPr>
          <w:rFonts w:hint="eastAsia" w:ascii="仿宋_GB2312" w:hAnsi="仿宋_GB2312" w:eastAsia="仿宋_GB2312" w:cs="仿宋_GB2312"/>
          <w:color w:val="000000"/>
          <w:kern w:val="0"/>
          <w:sz w:val="32"/>
          <w:szCs w:val="32"/>
          <w:u w:val="none" w:color="auto"/>
          <w:lang w:eastAsia="zh-CN"/>
        </w:rPr>
        <w:t>各社区服务群众的深度广度有待提高</w:t>
      </w:r>
      <w:r>
        <w:rPr>
          <w:rFonts w:hint="eastAsia" w:ascii="仿宋_GB2312" w:hAnsi="仿宋_GB2312" w:eastAsia="仿宋_GB2312" w:cs="仿宋_GB2312"/>
          <w:color w:val="000000"/>
          <w:kern w:val="0"/>
          <w:sz w:val="32"/>
          <w:szCs w:val="32"/>
          <w:u w:val="none" w:color="auto"/>
        </w:rPr>
        <w:t>。下一步改进措施：</w:t>
      </w:r>
      <w:r>
        <w:rPr>
          <w:rFonts w:hint="eastAsia" w:ascii="仿宋_GB2312" w:hAnsi="仿宋_GB2312" w:eastAsia="仿宋_GB2312" w:cs="仿宋_GB2312"/>
          <w:kern w:val="2"/>
          <w:sz w:val="32"/>
          <w:szCs w:val="32"/>
          <w:u w:val="none" w:color="auto"/>
        </w:rPr>
        <w:t>及时请款，及时支付，使用社区党组织服务群众经费为居民群众办实事，解决居民急难愁盼问题</w:t>
      </w:r>
      <w:r>
        <w:rPr>
          <w:rFonts w:hint="eastAsia" w:ascii="仿宋_GB2312" w:hAnsi="仿宋_GB2312" w:eastAsia="仿宋_GB2312" w:cs="仿宋_GB2312"/>
          <w:color w:val="000000"/>
          <w:kern w:val="0"/>
          <w:sz w:val="32"/>
          <w:szCs w:val="32"/>
          <w:u w:val="none" w:color="auto"/>
        </w:rPr>
        <w:t>。</w:t>
      </w:r>
    </w:p>
    <w:p w14:paraId="17540AFB">
      <w:pPr>
        <w:keepNext w:val="0"/>
        <w:keepLines w:val="0"/>
        <w:pageBreakBefore w:val="0"/>
        <w:widowControl w:val="0"/>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color w:val="000000"/>
          <w:kern w:val="0"/>
          <w:sz w:val="32"/>
          <w:szCs w:val="32"/>
          <w:u w:val="none" w:color="auto"/>
        </w:rPr>
      </w:pPr>
      <w:r>
        <w:rPr>
          <w:rFonts w:hint="eastAsia" w:ascii="仿宋_GB2312" w:hAnsi="仿宋_GB2312" w:eastAsia="仿宋_GB2312" w:cs="仿宋_GB2312"/>
          <w:color w:val="000000"/>
          <w:kern w:val="0"/>
          <w:sz w:val="32"/>
          <w:szCs w:val="32"/>
          <w:u w:val="none" w:color="auto"/>
        </w:rPr>
        <w:t> </w:t>
      </w:r>
      <w:r>
        <w:rPr>
          <w:rFonts w:hint="eastAsia" w:ascii="仿宋_GB2312" w:hAnsi="仿宋_GB2312" w:eastAsia="仿宋_GB2312" w:cs="仿宋_GB2312"/>
          <w:color w:val="000000"/>
          <w:kern w:val="0"/>
          <w:sz w:val="32"/>
          <w:szCs w:val="32"/>
          <w:u w:val="none" w:color="auto"/>
          <w:lang w:val="en-US" w:eastAsia="zh-CN"/>
        </w:rPr>
        <w:t>2、</w:t>
      </w:r>
      <w:r>
        <w:rPr>
          <w:rFonts w:hint="eastAsia" w:ascii="仿宋_GB2312" w:hAnsi="仿宋_GB2312" w:eastAsia="仿宋_GB2312" w:cs="仿宋_GB2312"/>
          <w:color w:val="000000"/>
          <w:kern w:val="0"/>
          <w:sz w:val="32"/>
          <w:szCs w:val="32"/>
          <w:u w:val="none" w:color="auto"/>
          <w:lang w:eastAsia="zh-CN"/>
        </w:rPr>
        <w:t>社区党组织工作经费</w:t>
      </w:r>
      <w:r>
        <w:rPr>
          <w:rFonts w:hint="eastAsia" w:ascii="仿宋_GB2312" w:hAnsi="仿宋_GB2312" w:eastAsia="仿宋_GB2312" w:cs="仿宋_GB2312"/>
          <w:color w:val="000000"/>
          <w:kern w:val="0"/>
          <w:sz w:val="32"/>
          <w:szCs w:val="32"/>
          <w:u w:val="none" w:color="auto"/>
        </w:rPr>
        <w:t>项目项目自评综述：根据年初设定的绩效目标，项目自评得分</w:t>
      </w:r>
      <w:r>
        <w:rPr>
          <w:rFonts w:hint="eastAsia" w:ascii="仿宋_GB2312" w:hAnsi="仿宋_GB2312" w:eastAsia="仿宋_GB2312" w:cs="仿宋_GB2312"/>
          <w:color w:val="000000"/>
          <w:kern w:val="0"/>
          <w:sz w:val="32"/>
          <w:szCs w:val="32"/>
          <w:u w:val="none" w:color="auto"/>
          <w:lang w:val="en-US" w:eastAsia="zh-CN"/>
        </w:rPr>
        <w:t>100</w:t>
      </w:r>
      <w:r>
        <w:rPr>
          <w:rFonts w:hint="eastAsia" w:ascii="仿宋_GB2312" w:hAnsi="仿宋_GB2312" w:eastAsia="仿宋_GB2312" w:cs="仿宋_GB2312"/>
          <w:color w:val="000000"/>
          <w:kern w:val="0"/>
          <w:sz w:val="32"/>
          <w:szCs w:val="32"/>
          <w:u w:val="none" w:color="auto"/>
        </w:rPr>
        <w:t>分。全年预算数为</w:t>
      </w:r>
      <w:r>
        <w:rPr>
          <w:rFonts w:hint="eastAsia" w:ascii="仿宋_GB2312" w:hAnsi="仿宋_GB2312" w:eastAsia="仿宋_GB2312" w:cs="仿宋_GB2312"/>
          <w:color w:val="000000"/>
          <w:kern w:val="0"/>
          <w:sz w:val="32"/>
          <w:szCs w:val="32"/>
          <w:u w:val="none" w:color="auto"/>
          <w:lang w:val="en-US" w:eastAsia="zh-CN"/>
        </w:rPr>
        <w:t>30</w:t>
      </w:r>
      <w:r>
        <w:rPr>
          <w:rFonts w:hint="eastAsia" w:ascii="仿宋_GB2312" w:hAnsi="仿宋_GB2312" w:eastAsia="仿宋_GB2312" w:cs="仿宋_GB2312"/>
          <w:color w:val="000000"/>
          <w:kern w:val="0"/>
          <w:sz w:val="32"/>
          <w:szCs w:val="32"/>
          <w:u w:val="none" w:color="auto"/>
        </w:rPr>
        <w:t>万元，执行数为</w:t>
      </w:r>
      <w:r>
        <w:rPr>
          <w:rFonts w:hint="eastAsia" w:ascii="仿宋_GB2312" w:hAnsi="仿宋_GB2312" w:eastAsia="仿宋_GB2312" w:cs="仿宋_GB2312"/>
          <w:color w:val="000000"/>
          <w:kern w:val="0"/>
          <w:sz w:val="32"/>
          <w:szCs w:val="32"/>
          <w:u w:val="none" w:color="auto"/>
          <w:lang w:val="en-US" w:eastAsia="zh-CN"/>
        </w:rPr>
        <w:t>30</w:t>
      </w:r>
      <w:r>
        <w:rPr>
          <w:rFonts w:hint="eastAsia" w:ascii="仿宋_GB2312" w:hAnsi="仿宋_GB2312" w:eastAsia="仿宋_GB2312" w:cs="仿宋_GB2312"/>
          <w:color w:val="000000"/>
          <w:kern w:val="0"/>
          <w:sz w:val="32"/>
          <w:szCs w:val="32"/>
          <w:u w:val="none" w:color="auto"/>
        </w:rPr>
        <w:t>万元，完成预算的</w:t>
      </w:r>
      <w:r>
        <w:rPr>
          <w:rFonts w:hint="eastAsia" w:ascii="仿宋_GB2312" w:hAnsi="仿宋_GB2312" w:eastAsia="仿宋_GB2312" w:cs="仿宋_GB2312"/>
          <w:color w:val="000000"/>
          <w:kern w:val="0"/>
          <w:sz w:val="32"/>
          <w:szCs w:val="32"/>
          <w:u w:val="none" w:color="auto"/>
          <w:lang w:val="en-US" w:eastAsia="zh-CN"/>
        </w:rPr>
        <w:t>100</w:t>
      </w:r>
      <w:r>
        <w:rPr>
          <w:rFonts w:hint="eastAsia" w:ascii="仿宋_GB2312" w:hAnsi="仿宋_GB2312" w:eastAsia="仿宋_GB2312" w:cs="仿宋_GB2312"/>
          <w:color w:val="000000"/>
          <w:kern w:val="0"/>
          <w:sz w:val="32"/>
          <w:szCs w:val="32"/>
          <w:u w:val="none" w:color="auto"/>
        </w:rPr>
        <w:t>%。项目绩效目标完成情况：</w:t>
      </w:r>
      <w:r>
        <w:rPr>
          <w:rFonts w:hint="eastAsia" w:ascii="仿宋_GB2312" w:hAnsi="仿宋_GB2312" w:eastAsia="仿宋_GB2312" w:cs="仿宋_GB2312"/>
          <w:kern w:val="2"/>
          <w:sz w:val="32"/>
          <w:szCs w:val="32"/>
          <w:u w:val="none" w:color="auto"/>
          <w:lang w:val="en-US" w:eastAsia="zh-CN"/>
        </w:rPr>
        <w:t xml:space="preserve"> 社区党组织全年工作有续开展，社区党组织全年运转良好。</w:t>
      </w:r>
      <w:r>
        <w:rPr>
          <w:rFonts w:hint="eastAsia" w:ascii="仿宋_GB2312" w:hAnsi="仿宋_GB2312" w:eastAsia="仿宋_GB2312" w:cs="仿宋_GB2312"/>
          <w:color w:val="000000"/>
          <w:kern w:val="0"/>
          <w:sz w:val="32"/>
          <w:szCs w:val="32"/>
          <w:u w:val="none" w:color="auto"/>
        </w:rPr>
        <w:t>发现的主要问题及原因：</w:t>
      </w:r>
      <w:r>
        <w:rPr>
          <w:rFonts w:hint="eastAsia" w:ascii="仿宋_GB2312" w:hAnsi="仿宋_GB2312" w:eastAsia="仿宋_GB2312" w:cs="仿宋_GB2312"/>
          <w:color w:val="000000"/>
          <w:kern w:val="0"/>
          <w:sz w:val="32"/>
          <w:szCs w:val="32"/>
          <w:u w:val="none" w:color="auto"/>
          <w:lang w:eastAsia="zh-CN"/>
        </w:rPr>
        <w:t>各社区服务群众的深度广度有待提高</w:t>
      </w:r>
      <w:r>
        <w:rPr>
          <w:rFonts w:hint="eastAsia" w:ascii="仿宋_GB2312" w:hAnsi="仿宋_GB2312" w:eastAsia="仿宋_GB2312" w:cs="仿宋_GB2312"/>
          <w:color w:val="000000"/>
          <w:kern w:val="0"/>
          <w:sz w:val="32"/>
          <w:szCs w:val="32"/>
          <w:u w:val="none" w:color="auto"/>
        </w:rPr>
        <w:t>。下一步改进措施：</w:t>
      </w:r>
      <w:r>
        <w:rPr>
          <w:rFonts w:hint="eastAsia" w:ascii="仿宋_GB2312" w:hAnsi="仿宋_GB2312" w:eastAsia="仿宋_GB2312" w:cs="仿宋_GB2312"/>
          <w:kern w:val="2"/>
          <w:sz w:val="32"/>
          <w:szCs w:val="32"/>
          <w:u w:val="none" w:color="auto"/>
        </w:rPr>
        <w:t>按照资金使用要求，进行年度预算编制，做好资金的细化和管理，及时请款，及时支付，使用社区党组织工作经费保障好社区工作的正常开展，保障好社区党组织的良好运转。</w:t>
      </w:r>
    </w:p>
    <w:p w14:paraId="40189246">
      <w:pPr>
        <w:keepNext w:val="0"/>
        <w:keepLines w:val="0"/>
        <w:pageBreakBefore w:val="0"/>
        <w:widowControl w:val="0"/>
        <w:numPr>
          <w:ilvl w:val="0"/>
          <w:numId w:val="7"/>
        </w:numPr>
        <w:kinsoku/>
        <w:wordWrap/>
        <w:overflowPunct/>
        <w:topLinePunct/>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kern w:val="2"/>
          <w:sz w:val="32"/>
          <w:szCs w:val="32"/>
          <w:u w:val="none" w:color="auto"/>
        </w:rPr>
      </w:pPr>
      <w:r>
        <w:rPr>
          <w:rFonts w:hint="eastAsia" w:ascii="仿宋_GB2312" w:hAnsi="仿宋_GB2312" w:eastAsia="仿宋_GB2312" w:cs="仿宋_GB2312"/>
          <w:color w:val="000000"/>
          <w:kern w:val="0"/>
          <w:sz w:val="32"/>
          <w:szCs w:val="32"/>
          <w:u w:val="none" w:color="auto"/>
          <w:lang w:eastAsia="zh-CN"/>
        </w:rPr>
        <w:t>郑家沟水毁工程修复</w:t>
      </w:r>
      <w:r>
        <w:rPr>
          <w:rFonts w:hint="eastAsia" w:ascii="仿宋_GB2312" w:hAnsi="仿宋_GB2312" w:eastAsia="仿宋_GB2312" w:cs="仿宋_GB2312"/>
          <w:color w:val="000000"/>
          <w:kern w:val="0"/>
          <w:sz w:val="32"/>
          <w:szCs w:val="32"/>
          <w:u w:val="none" w:color="auto"/>
        </w:rPr>
        <w:t>项目项目项目自评综述：根据年初设定的绩效目标，项目自评得分</w:t>
      </w:r>
      <w:r>
        <w:rPr>
          <w:rFonts w:hint="eastAsia" w:ascii="仿宋_GB2312" w:hAnsi="仿宋_GB2312" w:eastAsia="仿宋_GB2312" w:cs="仿宋_GB2312"/>
          <w:color w:val="000000"/>
          <w:kern w:val="0"/>
          <w:sz w:val="32"/>
          <w:szCs w:val="32"/>
          <w:u w:val="none" w:color="auto"/>
          <w:lang w:val="en-US" w:eastAsia="zh-CN"/>
        </w:rPr>
        <w:t>93</w:t>
      </w:r>
      <w:r>
        <w:rPr>
          <w:rFonts w:hint="eastAsia" w:ascii="仿宋_GB2312" w:hAnsi="仿宋_GB2312" w:eastAsia="仿宋_GB2312" w:cs="仿宋_GB2312"/>
          <w:color w:val="000000"/>
          <w:kern w:val="0"/>
          <w:sz w:val="32"/>
          <w:szCs w:val="32"/>
          <w:u w:val="none" w:color="auto"/>
        </w:rPr>
        <w:t>分。全年预算数为</w:t>
      </w:r>
      <w:r>
        <w:rPr>
          <w:rFonts w:hint="eastAsia" w:ascii="仿宋_GB2312" w:hAnsi="仿宋_GB2312" w:eastAsia="仿宋_GB2312" w:cs="仿宋_GB2312"/>
          <w:color w:val="000000"/>
          <w:kern w:val="0"/>
          <w:sz w:val="32"/>
          <w:szCs w:val="32"/>
          <w:u w:val="none" w:color="auto"/>
          <w:lang w:val="en-US" w:eastAsia="zh-CN"/>
        </w:rPr>
        <w:t>5.94</w:t>
      </w:r>
      <w:r>
        <w:rPr>
          <w:rFonts w:hint="eastAsia" w:ascii="仿宋_GB2312" w:hAnsi="仿宋_GB2312" w:eastAsia="仿宋_GB2312" w:cs="仿宋_GB2312"/>
          <w:color w:val="000000"/>
          <w:kern w:val="0"/>
          <w:sz w:val="32"/>
          <w:szCs w:val="32"/>
          <w:u w:val="none" w:color="auto"/>
        </w:rPr>
        <w:t>万元，执行数为</w:t>
      </w:r>
      <w:r>
        <w:rPr>
          <w:rFonts w:hint="eastAsia" w:ascii="仿宋_GB2312" w:hAnsi="仿宋_GB2312" w:eastAsia="仿宋_GB2312" w:cs="仿宋_GB2312"/>
          <w:color w:val="000000"/>
          <w:kern w:val="0"/>
          <w:sz w:val="32"/>
          <w:szCs w:val="32"/>
          <w:u w:val="none" w:color="auto"/>
          <w:lang w:val="en-US" w:eastAsia="zh-CN"/>
        </w:rPr>
        <w:t>5.94</w:t>
      </w:r>
      <w:r>
        <w:rPr>
          <w:rFonts w:hint="eastAsia" w:ascii="仿宋_GB2312" w:hAnsi="仿宋_GB2312" w:eastAsia="仿宋_GB2312" w:cs="仿宋_GB2312"/>
          <w:color w:val="000000"/>
          <w:kern w:val="0"/>
          <w:sz w:val="32"/>
          <w:szCs w:val="32"/>
          <w:u w:val="none" w:color="auto"/>
        </w:rPr>
        <w:t>万元，完成预算的</w:t>
      </w:r>
      <w:r>
        <w:rPr>
          <w:rFonts w:hint="eastAsia" w:ascii="仿宋_GB2312" w:hAnsi="仿宋_GB2312" w:eastAsia="仿宋_GB2312" w:cs="仿宋_GB2312"/>
          <w:color w:val="000000"/>
          <w:kern w:val="0"/>
          <w:sz w:val="32"/>
          <w:szCs w:val="32"/>
          <w:u w:val="none" w:color="auto"/>
          <w:lang w:val="en-US" w:eastAsia="zh-CN"/>
        </w:rPr>
        <w:t>100</w:t>
      </w:r>
      <w:r>
        <w:rPr>
          <w:rFonts w:hint="eastAsia" w:ascii="仿宋_GB2312" w:hAnsi="仿宋_GB2312" w:eastAsia="仿宋_GB2312" w:cs="仿宋_GB2312"/>
          <w:color w:val="000000"/>
          <w:kern w:val="0"/>
          <w:sz w:val="32"/>
          <w:szCs w:val="32"/>
          <w:u w:val="none" w:color="auto"/>
        </w:rPr>
        <w:t>%。项目绩效目标完成情况：</w:t>
      </w:r>
      <w:bookmarkStart w:id="1" w:name="OLE_LINK1"/>
      <w:r>
        <w:rPr>
          <w:rFonts w:hint="eastAsia" w:ascii="仿宋_GB2312" w:hAnsi="仿宋_GB2312" w:eastAsia="仿宋_GB2312" w:cs="仿宋_GB2312"/>
          <w:kern w:val="2"/>
          <w:sz w:val="32"/>
          <w:szCs w:val="32"/>
          <w:u w:val="none" w:color="auto"/>
          <w:lang w:val="en-US" w:eastAsia="zh-CN"/>
        </w:rPr>
        <w:t>河西街道郑家沟水毁设施修复项目2024年项目已完工验收，达到了预期的修复目地。修复工程按时完工，质量达标，成本控制在预算范围内，修复后的设施显著改善了村民的生活条件，得到了广泛的认可</w:t>
      </w:r>
      <w:bookmarkEnd w:id="1"/>
      <w:r>
        <w:rPr>
          <w:rFonts w:hint="eastAsia" w:ascii="仿宋_GB2312" w:hAnsi="仿宋_GB2312" w:eastAsia="仿宋_GB2312" w:cs="仿宋_GB2312"/>
          <w:kern w:val="2"/>
          <w:sz w:val="32"/>
          <w:szCs w:val="32"/>
          <w:u w:val="none" w:color="auto"/>
          <w:lang w:val="en-US" w:eastAsia="zh-CN"/>
        </w:rPr>
        <w:t>。</w:t>
      </w:r>
      <w:r>
        <w:rPr>
          <w:rFonts w:hint="eastAsia" w:ascii="仿宋_GB2312" w:hAnsi="仿宋_GB2312" w:eastAsia="仿宋_GB2312" w:cs="仿宋_GB2312"/>
          <w:color w:val="000000"/>
          <w:kern w:val="0"/>
          <w:sz w:val="32"/>
          <w:szCs w:val="32"/>
          <w:u w:val="none" w:color="auto"/>
        </w:rPr>
        <w:t>发现的主要问题及原因：</w:t>
      </w:r>
      <w:r>
        <w:rPr>
          <w:rFonts w:hint="eastAsia" w:ascii="仿宋_GB2312" w:hAnsi="仿宋_GB2312" w:eastAsia="仿宋_GB2312" w:cs="仿宋_GB2312"/>
          <w:color w:val="000000"/>
          <w:kern w:val="0"/>
          <w:sz w:val="32"/>
          <w:szCs w:val="32"/>
          <w:u w:val="none" w:color="auto"/>
          <w:lang w:eastAsia="zh-CN"/>
        </w:rPr>
        <w:t>无后期维护与管理经费</w:t>
      </w:r>
      <w:r>
        <w:rPr>
          <w:rFonts w:hint="eastAsia" w:ascii="仿宋_GB2312" w:hAnsi="仿宋_GB2312" w:eastAsia="仿宋_GB2312" w:cs="仿宋_GB2312"/>
          <w:color w:val="000000"/>
          <w:kern w:val="0"/>
          <w:sz w:val="32"/>
          <w:szCs w:val="32"/>
          <w:u w:val="none" w:color="auto"/>
        </w:rPr>
        <w:t>。下一步改进措施：</w:t>
      </w:r>
      <w:r>
        <w:rPr>
          <w:rFonts w:hint="eastAsia" w:ascii="仿宋_GB2312" w:hAnsi="仿宋_GB2312" w:eastAsia="仿宋_GB2312" w:cs="仿宋_GB2312"/>
          <w:color w:val="000000"/>
          <w:kern w:val="0"/>
          <w:sz w:val="32"/>
          <w:szCs w:val="32"/>
          <w:u w:val="none" w:color="auto"/>
          <w:lang w:eastAsia="zh-CN"/>
        </w:rPr>
        <w:t>进一步申请资金进行</w:t>
      </w:r>
      <w:r>
        <w:rPr>
          <w:rFonts w:hint="eastAsia" w:ascii="仿宋_GB2312" w:hAnsi="仿宋_GB2312" w:eastAsia="仿宋_GB2312" w:cs="仿宋_GB2312"/>
          <w:kern w:val="2"/>
          <w:sz w:val="32"/>
          <w:szCs w:val="32"/>
          <w:u w:val="none" w:color="auto"/>
        </w:rPr>
        <w:t>后期维护与管理，确保修复后的设施能够长期稳定运行，减少未来灾害风险</w:t>
      </w:r>
      <w:r>
        <w:rPr>
          <w:rFonts w:hint="eastAsia" w:ascii="仿宋_GB2312" w:hAnsi="仿宋_GB2312" w:eastAsia="仿宋_GB2312" w:cs="仿宋_GB2312"/>
          <w:kern w:val="2"/>
          <w:sz w:val="32"/>
          <w:szCs w:val="32"/>
          <w:u w:val="none" w:color="auto"/>
          <w:lang w:eastAsia="zh-CN"/>
        </w:rPr>
        <w:t>，</w:t>
      </w:r>
      <w:r>
        <w:rPr>
          <w:rFonts w:hint="eastAsia" w:ascii="仿宋_GB2312" w:hAnsi="仿宋_GB2312" w:eastAsia="仿宋_GB2312" w:cs="仿宋_GB2312"/>
          <w:kern w:val="2"/>
          <w:sz w:val="32"/>
          <w:szCs w:val="32"/>
          <w:u w:val="none" w:color="auto"/>
        </w:rPr>
        <w:t>制定定期检查和维护计划，对修复后的水利设施进行常态化管理。建立监测系统，实时监控设施运行状态，及时发现并处理潜在问题。</w:t>
      </w:r>
    </w:p>
    <w:tbl>
      <w:tblPr>
        <w:tblW w:w="99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829"/>
        <w:gridCol w:w="830"/>
        <w:gridCol w:w="830"/>
        <w:gridCol w:w="830"/>
        <w:gridCol w:w="830"/>
        <w:gridCol w:w="830"/>
        <w:gridCol w:w="830"/>
        <w:gridCol w:w="830"/>
        <w:gridCol w:w="830"/>
        <w:gridCol w:w="830"/>
        <w:gridCol w:w="831"/>
        <w:gridCol w:w="830"/>
      </w:tblGrid>
      <w:tr w14:paraId="4714F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60" w:hRule="atLeast"/>
        </w:trPr>
        <w:tc>
          <w:tcPr>
            <w:tcW w:w="9972" w:type="dxa"/>
            <w:gridSpan w:val="12"/>
            <w:tcBorders>
              <w:top w:val="single" w:color="000000" w:sz="4" w:space="0"/>
              <w:left w:val="single" w:color="000000" w:sz="4" w:space="0"/>
              <w:bottom w:val="single" w:color="000000" w:sz="4" w:space="0"/>
              <w:right w:val="single" w:color="000000" w:sz="4" w:space="0"/>
            </w:tcBorders>
            <w:shd w:val="clear"/>
            <w:vAlign w:val="center"/>
          </w:tcPr>
          <w:p w14:paraId="20F6BC00">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bdr w:val="none" w:color="auto" w:sz="0" w:space="0"/>
                <w:lang w:val="en-US" w:eastAsia="zh-CN" w:bidi="ar"/>
              </w:rPr>
              <w:t>项目支出绩效自评表</w:t>
            </w:r>
            <w:r>
              <w:rPr>
                <w:rFonts w:hint="eastAsia" w:ascii="宋体" w:hAnsi="宋体" w:eastAsia="宋体" w:cs="宋体"/>
                <w:b/>
                <w:bCs/>
                <w:i w:val="0"/>
                <w:iCs w:val="0"/>
                <w:color w:val="000000"/>
                <w:kern w:val="0"/>
                <w:sz w:val="40"/>
                <w:szCs w:val="40"/>
                <w:u w:val="none"/>
                <w:bdr w:val="none" w:color="auto" w:sz="0" w:space="0"/>
                <w:lang w:val="en-US" w:eastAsia="zh-CN" w:bidi="ar"/>
              </w:rPr>
              <w:br w:type="textWrapping"/>
            </w:r>
            <w:r>
              <w:rPr>
                <w:rFonts w:hint="eastAsia" w:ascii="宋体" w:hAnsi="宋体" w:eastAsia="宋体" w:cs="宋体"/>
                <w:b/>
                <w:bCs/>
                <w:i w:val="0"/>
                <w:iCs w:val="0"/>
                <w:color w:val="000000"/>
                <w:kern w:val="0"/>
                <w:sz w:val="40"/>
                <w:szCs w:val="40"/>
                <w:u w:val="none"/>
                <w:bdr w:val="none" w:color="auto" w:sz="0" w:space="0"/>
                <w:lang w:val="en-US" w:eastAsia="zh-CN" w:bidi="ar"/>
              </w:rPr>
              <w:t>(2024年度）</w:t>
            </w:r>
          </w:p>
        </w:tc>
      </w:tr>
      <w:tr w14:paraId="0D292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662" w:type="dxa"/>
            <w:gridSpan w:val="2"/>
            <w:tcBorders>
              <w:top w:val="single" w:color="000000" w:sz="4" w:space="0"/>
              <w:left w:val="single" w:color="000000" w:sz="4" w:space="0"/>
              <w:bottom w:val="single" w:color="000000" w:sz="4" w:space="0"/>
              <w:right w:val="single" w:color="000000" w:sz="4" w:space="0"/>
            </w:tcBorders>
            <w:shd w:val="clear"/>
            <w:vAlign w:val="center"/>
          </w:tcPr>
          <w:p w14:paraId="5C341B8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项目名称</w:t>
            </w:r>
          </w:p>
        </w:tc>
        <w:tc>
          <w:tcPr>
            <w:tcW w:w="8310" w:type="dxa"/>
            <w:gridSpan w:val="10"/>
            <w:tcBorders>
              <w:top w:val="single" w:color="000000" w:sz="4" w:space="0"/>
              <w:left w:val="single" w:color="000000" w:sz="4" w:space="0"/>
              <w:bottom w:val="single" w:color="000000" w:sz="4" w:space="0"/>
              <w:right w:val="single" w:color="000000" w:sz="4" w:space="0"/>
            </w:tcBorders>
            <w:shd w:val="clear"/>
            <w:vAlign w:val="center"/>
          </w:tcPr>
          <w:p w14:paraId="537A5B7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2024年社区党组织服务群众资金 呼财行（2024）315号</w:t>
            </w:r>
          </w:p>
        </w:tc>
      </w:tr>
      <w:tr w14:paraId="53A45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662" w:type="dxa"/>
            <w:gridSpan w:val="2"/>
            <w:tcBorders>
              <w:top w:val="single" w:color="000000" w:sz="4" w:space="0"/>
              <w:left w:val="single" w:color="000000" w:sz="4" w:space="0"/>
              <w:bottom w:val="single" w:color="000000" w:sz="4" w:space="0"/>
              <w:right w:val="single" w:color="000000" w:sz="4" w:space="0"/>
            </w:tcBorders>
            <w:shd w:val="clear"/>
            <w:vAlign w:val="center"/>
          </w:tcPr>
          <w:p w14:paraId="298AD14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主管部门</w:t>
            </w:r>
          </w:p>
        </w:tc>
        <w:tc>
          <w:tcPr>
            <w:tcW w:w="3324" w:type="dxa"/>
            <w:gridSpan w:val="4"/>
            <w:tcBorders>
              <w:top w:val="single" w:color="000000" w:sz="4" w:space="0"/>
              <w:left w:val="single" w:color="000000" w:sz="4" w:space="0"/>
              <w:bottom w:val="single" w:color="000000" w:sz="4" w:space="0"/>
              <w:right w:val="single" w:color="000000" w:sz="4" w:space="0"/>
            </w:tcBorders>
            <w:shd w:val="clear"/>
            <w:vAlign w:val="center"/>
          </w:tcPr>
          <w:p w14:paraId="5C72E94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扎兰屯市河西办事处（部门）</w:t>
            </w:r>
          </w:p>
        </w:tc>
        <w:tc>
          <w:tcPr>
            <w:tcW w:w="1662" w:type="dxa"/>
            <w:gridSpan w:val="2"/>
            <w:tcBorders>
              <w:top w:val="single" w:color="000000" w:sz="4" w:space="0"/>
              <w:left w:val="single" w:color="000000" w:sz="4" w:space="0"/>
              <w:bottom w:val="single" w:color="000000" w:sz="4" w:space="0"/>
              <w:right w:val="single" w:color="000000" w:sz="4" w:space="0"/>
            </w:tcBorders>
            <w:shd w:val="clear"/>
            <w:vAlign w:val="center"/>
          </w:tcPr>
          <w:p w14:paraId="17D3174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实施单位</w:t>
            </w:r>
          </w:p>
        </w:tc>
        <w:tc>
          <w:tcPr>
            <w:tcW w:w="3324" w:type="dxa"/>
            <w:gridSpan w:val="4"/>
            <w:tcBorders>
              <w:top w:val="single" w:color="000000" w:sz="4" w:space="0"/>
              <w:left w:val="single" w:color="000000" w:sz="4" w:space="0"/>
              <w:bottom w:val="single" w:color="000000" w:sz="4" w:space="0"/>
              <w:right w:val="single" w:color="000000" w:sz="4" w:space="0"/>
            </w:tcBorders>
            <w:shd w:val="clear"/>
            <w:vAlign w:val="center"/>
          </w:tcPr>
          <w:p w14:paraId="3389035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扎兰屯市河西街道办事处</w:t>
            </w:r>
          </w:p>
        </w:tc>
      </w:tr>
      <w:tr w14:paraId="7CEF6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662"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0E56FB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项目资金</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（万元）</w:t>
            </w: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10445A8D">
            <w:pP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729514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年初预算数</w:t>
            </w:r>
          </w:p>
        </w:tc>
        <w:tc>
          <w:tcPr>
            <w:tcW w:w="1662" w:type="dxa"/>
            <w:gridSpan w:val="2"/>
            <w:tcBorders>
              <w:top w:val="single" w:color="000000" w:sz="4" w:space="0"/>
              <w:left w:val="single" w:color="000000" w:sz="4" w:space="0"/>
              <w:bottom w:val="single" w:color="000000" w:sz="4" w:space="0"/>
              <w:right w:val="single" w:color="000000" w:sz="4" w:space="0"/>
            </w:tcBorders>
            <w:shd w:val="clear"/>
            <w:vAlign w:val="center"/>
          </w:tcPr>
          <w:p w14:paraId="59CD9D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全年预算数</w:t>
            </w:r>
          </w:p>
        </w:tc>
        <w:tc>
          <w:tcPr>
            <w:tcW w:w="1662" w:type="dxa"/>
            <w:gridSpan w:val="2"/>
            <w:tcBorders>
              <w:top w:val="single" w:color="000000" w:sz="4" w:space="0"/>
              <w:left w:val="single" w:color="000000" w:sz="4" w:space="0"/>
              <w:bottom w:val="single" w:color="000000" w:sz="4" w:space="0"/>
              <w:right w:val="single" w:color="000000" w:sz="4" w:space="0"/>
            </w:tcBorders>
            <w:shd w:val="clear"/>
            <w:vAlign w:val="center"/>
          </w:tcPr>
          <w:p w14:paraId="7ED596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全年执行数</w:t>
            </w: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7C3598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分值</w:t>
            </w:r>
          </w:p>
        </w:tc>
        <w:tc>
          <w:tcPr>
            <w:tcW w:w="1662" w:type="dxa"/>
            <w:gridSpan w:val="2"/>
            <w:tcBorders>
              <w:top w:val="single" w:color="000000" w:sz="4" w:space="0"/>
              <w:left w:val="single" w:color="000000" w:sz="4" w:space="0"/>
              <w:bottom w:val="single" w:color="000000" w:sz="4" w:space="0"/>
              <w:right w:val="single" w:color="000000" w:sz="4" w:space="0"/>
            </w:tcBorders>
            <w:shd w:val="clear"/>
            <w:vAlign w:val="center"/>
          </w:tcPr>
          <w:p w14:paraId="6502F6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执行率（%）</w:t>
            </w: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1C3994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得分</w:t>
            </w:r>
          </w:p>
        </w:tc>
      </w:tr>
      <w:tr w14:paraId="4A9CE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662"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5121F33F">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2E90F3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年度资金总额</w:t>
            </w: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73F7AB2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1662" w:type="dxa"/>
            <w:gridSpan w:val="2"/>
            <w:tcBorders>
              <w:top w:val="single" w:color="000000" w:sz="4" w:space="0"/>
              <w:left w:val="single" w:color="000000" w:sz="4" w:space="0"/>
              <w:bottom w:val="single" w:color="000000" w:sz="4" w:space="0"/>
              <w:right w:val="single" w:color="000000" w:sz="4" w:space="0"/>
            </w:tcBorders>
            <w:shd w:val="clear"/>
            <w:vAlign w:val="center"/>
          </w:tcPr>
          <w:p w14:paraId="33BA1BCE">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bdr w:val="none" w:color="auto" w:sz="0" w:space="0"/>
                <w:lang w:val="en-US" w:eastAsia="zh-CN" w:bidi="ar"/>
              </w:rPr>
              <w:t>60</w:t>
            </w:r>
          </w:p>
        </w:tc>
        <w:tc>
          <w:tcPr>
            <w:tcW w:w="1662" w:type="dxa"/>
            <w:gridSpan w:val="2"/>
            <w:tcBorders>
              <w:top w:val="single" w:color="000000" w:sz="4" w:space="0"/>
              <w:left w:val="single" w:color="000000" w:sz="4" w:space="0"/>
              <w:bottom w:val="single" w:color="000000" w:sz="4" w:space="0"/>
              <w:right w:val="single" w:color="000000" w:sz="4" w:space="0"/>
            </w:tcBorders>
            <w:shd w:val="clear"/>
            <w:vAlign w:val="center"/>
          </w:tcPr>
          <w:p w14:paraId="73C19A3D">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bdr w:val="none" w:color="auto" w:sz="0" w:space="0"/>
                <w:lang w:val="en-US" w:eastAsia="zh-CN" w:bidi="ar"/>
              </w:rPr>
              <w:t>60</w:t>
            </w: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0C958A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662" w:type="dxa"/>
            <w:gridSpan w:val="2"/>
            <w:tcBorders>
              <w:top w:val="single" w:color="000000" w:sz="4" w:space="0"/>
              <w:left w:val="single" w:color="000000" w:sz="4" w:space="0"/>
              <w:bottom w:val="single" w:color="000000" w:sz="4" w:space="0"/>
              <w:right w:val="single" w:color="000000" w:sz="4" w:space="0"/>
            </w:tcBorders>
            <w:shd w:val="clear"/>
            <w:vAlign w:val="center"/>
          </w:tcPr>
          <w:p w14:paraId="117C63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70EE43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r>
      <w:tr w14:paraId="1E4A5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662"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3A94710E">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721B4F7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其中：财政拨款</w:t>
            </w: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493DEDB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1662" w:type="dxa"/>
            <w:gridSpan w:val="2"/>
            <w:tcBorders>
              <w:top w:val="single" w:color="000000" w:sz="4" w:space="0"/>
              <w:left w:val="single" w:color="000000" w:sz="4" w:space="0"/>
              <w:bottom w:val="single" w:color="000000" w:sz="4" w:space="0"/>
              <w:right w:val="single" w:color="000000" w:sz="4" w:space="0"/>
            </w:tcBorders>
            <w:shd w:val="clear"/>
            <w:vAlign w:val="center"/>
          </w:tcPr>
          <w:p w14:paraId="1625332A">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bdr w:val="none" w:color="auto" w:sz="0" w:space="0"/>
                <w:lang w:val="en-US" w:eastAsia="zh-CN" w:bidi="ar"/>
              </w:rPr>
              <w:t>60</w:t>
            </w:r>
          </w:p>
        </w:tc>
        <w:tc>
          <w:tcPr>
            <w:tcW w:w="1662" w:type="dxa"/>
            <w:gridSpan w:val="2"/>
            <w:tcBorders>
              <w:top w:val="single" w:color="000000" w:sz="4" w:space="0"/>
              <w:left w:val="single" w:color="000000" w:sz="4" w:space="0"/>
              <w:bottom w:val="single" w:color="000000" w:sz="4" w:space="0"/>
              <w:right w:val="single" w:color="000000" w:sz="4" w:space="0"/>
            </w:tcBorders>
            <w:shd w:val="clear"/>
            <w:vAlign w:val="center"/>
          </w:tcPr>
          <w:p w14:paraId="023081F6">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bdr w:val="none" w:color="auto" w:sz="0" w:space="0"/>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2BD3483">
            <w:pPr>
              <w:keepNext w:val="0"/>
              <w:keepLines w:val="0"/>
              <w:widowControl/>
              <w:suppressLineNumbers w:val="0"/>
              <w:jc w:val="center"/>
              <w:textAlignment w:val="center"/>
              <w:rPr>
                <w:rFonts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bdr w:val="none" w:color="auto" w:sz="0" w:space="0"/>
                <w:lang w:val="en-US" w:eastAsia="zh-CN" w:bidi="ar"/>
              </w:rPr>
              <w:t>——</w:t>
            </w:r>
          </w:p>
        </w:tc>
        <w:tc>
          <w:tcPr>
            <w:tcW w:w="1662" w:type="dxa"/>
            <w:gridSpan w:val="2"/>
            <w:tcBorders>
              <w:top w:val="single" w:color="000000" w:sz="4" w:space="0"/>
              <w:left w:val="single" w:color="000000" w:sz="4" w:space="0"/>
              <w:bottom w:val="single" w:color="000000" w:sz="4" w:space="0"/>
              <w:right w:val="single" w:color="000000" w:sz="4" w:space="0"/>
            </w:tcBorders>
            <w:shd w:val="clear"/>
            <w:vAlign w:val="center"/>
          </w:tcPr>
          <w:p w14:paraId="6228E4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A2BE5FF">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bdr w:val="none" w:color="auto" w:sz="0" w:space="0"/>
                <w:lang w:val="en-US" w:eastAsia="zh-CN" w:bidi="ar"/>
              </w:rPr>
              <w:t>——</w:t>
            </w:r>
          </w:p>
        </w:tc>
      </w:tr>
      <w:tr w14:paraId="26F72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662"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5F73D24C">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7799CD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上年结转资金</w:t>
            </w: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144A6F11">
            <w:pPr>
              <w:rPr>
                <w:rFonts w:hint="eastAsia" w:ascii="宋体" w:hAnsi="宋体" w:eastAsia="宋体" w:cs="宋体"/>
                <w:i w:val="0"/>
                <w:iCs w:val="0"/>
                <w:color w:val="000000"/>
                <w:sz w:val="18"/>
                <w:szCs w:val="18"/>
                <w:u w:val="none"/>
              </w:rPr>
            </w:pPr>
          </w:p>
        </w:tc>
        <w:tc>
          <w:tcPr>
            <w:tcW w:w="1662" w:type="dxa"/>
            <w:gridSpan w:val="2"/>
            <w:tcBorders>
              <w:top w:val="single" w:color="000000" w:sz="4" w:space="0"/>
              <w:left w:val="single" w:color="000000" w:sz="4" w:space="0"/>
              <w:bottom w:val="single" w:color="000000" w:sz="4" w:space="0"/>
              <w:right w:val="single" w:color="000000" w:sz="4" w:space="0"/>
            </w:tcBorders>
            <w:shd w:val="clear"/>
            <w:vAlign w:val="center"/>
          </w:tcPr>
          <w:p w14:paraId="3F14FA8A">
            <w:pPr>
              <w:jc w:val="center"/>
              <w:rPr>
                <w:rFonts w:hint="eastAsia" w:ascii="宋体" w:hAnsi="宋体" w:eastAsia="宋体" w:cs="宋体"/>
                <w:i w:val="0"/>
                <w:iCs w:val="0"/>
                <w:color w:val="000000"/>
                <w:sz w:val="18"/>
                <w:szCs w:val="18"/>
                <w:u w:val="none"/>
              </w:rPr>
            </w:pPr>
          </w:p>
        </w:tc>
        <w:tc>
          <w:tcPr>
            <w:tcW w:w="1662" w:type="dxa"/>
            <w:gridSpan w:val="2"/>
            <w:tcBorders>
              <w:top w:val="single" w:color="000000" w:sz="4" w:space="0"/>
              <w:left w:val="single" w:color="000000" w:sz="4" w:space="0"/>
              <w:bottom w:val="single" w:color="000000" w:sz="4" w:space="0"/>
              <w:right w:val="single" w:color="000000" w:sz="4" w:space="0"/>
            </w:tcBorders>
            <w:shd w:val="clear"/>
            <w:vAlign w:val="center"/>
          </w:tcPr>
          <w:p w14:paraId="183C72B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E0A6970">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bdr w:val="none" w:color="auto" w:sz="0" w:space="0"/>
                <w:lang w:val="en-US" w:eastAsia="zh-CN" w:bidi="ar"/>
              </w:rPr>
              <w:t>——</w:t>
            </w:r>
          </w:p>
        </w:tc>
        <w:tc>
          <w:tcPr>
            <w:tcW w:w="1662" w:type="dxa"/>
            <w:gridSpan w:val="2"/>
            <w:tcBorders>
              <w:top w:val="single" w:color="000000" w:sz="4" w:space="0"/>
              <w:left w:val="single" w:color="000000" w:sz="4" w:space="0"/>
              <w:bottom w:val="single" w:color="000000" w:sz="4" w:space="0"/>
              <w:right w:val="single" w:color="000000" w:sz="4" w:space="0"/>
            </w:tcBorders>
            <w:shd w:val="clear"/>
            <w:vAlign w:val="center"/>
          </w:tcPr>
          <w:p w14:paraId="0676D45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0DB093A">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bdr w:val="none" w:color="auto" w:sz="0" w:space="0"/>
                <w:lang w:val="en-US" w:eastAsia="zh-CN" w:bidi="ar"/>
              </w:rPr>
              <w:t>——</w:t>
            </w:r>
          </w:p>
        </w:tc>
      </w:tr>
      <w:tr w14:paraId="238E7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662"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66DEC84F">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5DAC4B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其他资金</w:t>
            </w: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4F9A37D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1662" w:type="dxa"/>
            <w:gridSpan w:val="2"/>
            <w:tcBorders>
              <w:top w:val="single" w:color="000000" w:sz="4" w:space="0"/>
              <w:left w:val="single" w:color="000000" w:sz="4" w:space="0"/>
              <w:bottom w:val="single" w:color="000000" w:sz="4" w:space="0"/>
              <w:right w:val="single" w:color="000000" w:sz="4" w:space="0"/>
            </w:tcBorders>
            <w:shd w:val="clear"/>
            <w:vAlign w:val="center"/>
          </w:tcPr>
          <w:p w14:paraId="03FFAC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1662" w:type="dxa"/>
            <w:gridSpan w:val="2"/>
            <w:tcBorders>
              <w:top w:val="single" w:color="000000" w:sz="4" w:space="0"/>
              <w:left w:val="single" w:color="000000" w:sz="4" w:space="0"/>
              <w:bottom w:val="single" w:color="000000" w:sz="4" w:space="0"/>
              <w:right w:val="single" w:color="000000" w:sz="4" w:space="0"/>
            </w:tcBorders>
            <w:shd w:val="clear"/>
            <w:vAlign w:val="center"/>
          </w:tcPr>
          <w:p w14:paraId="1352FA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F36506D">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bdr w:val="none" w:color="auto" w:sz="0" w:space="0"/>
                <w:lang w:val="en-US" w:eastAsia="zh-CN" w:bidi="ar"/>
              </w:rPr>
              <w:t>——</w:t>
            </w:r>
          </w:p>
        </w:tc>
        <w:tc>
          <w:tcPr>
            <w:tcW w:w="1662" w:type="dxa"/>
            <w:gridSpan w:val="2"/>
            <w:tcBorders>
              <w:top w:val="single" w:color="000000" w:sz="4" w:space="0"/>
              <w:left w:val="single" w:color="000000" w:sz="4" w:space="0"/>
              <w:bottom w:val="single" w:color="000000" w:sz="4" w:space="0"/>
              <w:right w:val="single" w:color="000000" w:sz="4" w:space="0"/>
            </w:tcBorders>
            <w:shd w:val="clear"/>
            <w:vAlign w:val="center"/>
          </w:tcPr>
          <w:p w14:paraId="0AE210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DBC1202">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bdr w:val="none" w:color="auto" w:sz="0" w:space="0"/>
                <w:lang w:val="en-US" w:eastAsia="zh-CN" w:bidi="ar"/>
              </w:rPr>
              <w:t>——</w:t>
            </w:r>
          </w:p>
        </w:tc>
      </w:tr>
      <w:tr w14:paraId="1B712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662"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615A0B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年度总体目标</w:t>
            </w:r>
          </w:p>
        </w:tc>
        <w:tc>
          <w:tcPr>
            <w:tcW w:w="4155" w:type="dxa"/>
            <w:gridSpan w:val="5"/>
            <w:tcBorders>
              <w:top w:val="single" w:color="000000" w:sz="4" w:space="0"/>
              <w:left w:val="single" w:color="000000" w:sz="4" w:space="0"/>
              <w:bottom w:val="single" w:color="000000" w:sz="4" w:space="0"/>
              <w:right w:val="single" w:color="000000" w:sz="4" w:space="0"/>
            </w:tcBorders>
            <w:shd w:val="clear"/>
            <w:vAlign w:val="center"/>
          </w:tcPr>
          <w:p w14:paraId="714DD0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预期目标</w:t>
            </w:r>
          </w:p>
        </w:tc>
        <w:tc>
          <w:tcPr>
            <w:tcW w:w="4155" w:type="dxa"/>
            <w:gridSpan w:val="5"/>
            <w:tcBorders>
              <w:top w:val="single" w:color="000000" w:sz="4" w:space="0"/>
              <w:left w:val="single" w:color="000000" w:sz="4" w:space="0"/>
              <w:bottom w:val="single" w:color="000000" w:sz="4" w:space="0"/>
              <w:right w:val="single" w:color="000000" w:sz="4" w:space="0"/>
            </w:tcBorders>
            <w:shd w:val="clear"/>
            <w:vAlign w:val="center"/>
          </w:tcPr>
          <w:p w14:paraId="739E19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实际完成情况</w:t>
            </w:r>
          </w:p>
        </w:tc>
      </w:tr>
      <w:tr w14:paraId="68B79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1662"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0744B38A">
            <w:pPr>
              <w:jc w:val="center"/>
              <w:rPr>
                <w:rFonts w:hint="eastAsia" w:ascii="宋体" w:hAnsi="宋体" w:eastAsia="宋体" w:cs="宋体"/>
                <w:i w:val="0"/>
                <w:iCs w:val="0"/>
                <w:color w:val="000000"/>
                <w:sz w:val="18"/>
                <w:szCs w:val="18"/>
                <w:u w:val="none"/>
              </w:rPr>
            </w:pPr>
          </w:p>
        </w:tc>
        <w:tc>
          <w:tcPr>
            <w:tcW w:w="4155" w:type="dxa"/>
            <w:gridSpan w:val="5"/>
            <w:tcBorders>
              <w:top w:val="single" w:color="000000" w:sz="4" w:space="0"/>
              <w:left w:val="single" w:color="000000" w:sz="4" w:space="0"/>
              <w:bottom w:val="single" w:color="000000" w:sz="4" w:space="0"/>
              <w:right w:val="single" w:color="000000" w:sz="4" w:space="0"/>
            </w:tcBorders>
            <w:shd w:val="clear"/>
            <w:vAlign w:val="center"/>
          </w:tcPr>
          <w:p w14:paraId="281C9E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内蒙古自治区呼伦贝尔市扎兰屯市河西街道办事处支持社区开展便民利民、群众活动、关爱帮扶、公益风尚等服务活动以及社区居民急需的其他服务事项，优先支持贯彻中华民族共同体意识主线有关服务，切实增强中组织政治功能、组织功能、不断提高为民办实事解难题能力水平</w:t>
            </w:r>
          </w:p>
        </w:tc>
        <w:tc>
          <w:tcPr>
            <w:tcW w:w="4155" w:type="dxa"/>
            <w:gridSpan w:val="5"/>
            <w:tcBorders>
              <w:top w:val="single" w:color="000000" w:sz="4" w:space="0"/>
              <w:left w:val="single" w:color="000000" w:sz="4" w:space="0"/>
              <w:bottom w:val="single" w:color="000000" w:sz="4" w:space="0"/>
              <w:right w:val="single" w:color="000000" w:sz="4" w:space="0"/>
            </w:tcBorders>
            <w:shd w:val="clear"/>
            <w:vAlign w:val="center"/>
          </w:tcPr>
          <w:p w14:paraId="46668A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  2024年社区党组织服务群众资金为辖区居民修建排洪沟，清理垃圾，解决居民汛期出行难问题，组织群众活动、帮扶困难群体，为小区更换社会主义核心价值观图版等。提升了社区党组织组织力和服务水平。</w:t>
            </w:r>
          </w:p>
        </w:tc>
      </w:tr>
      <w:tr w14:paraId="174D1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31" w:type="dxa"/>
            <w:tcBorders>
              <w:top w:val="single" w:color="000000" w:sz="4" w:space="0"/>
              <w:left w:val="single" w:color="000000" w:sz="4" w:space="0"/>
              <w:bottom w:val="single" w:color="000000" w:sz="4" w:space="0"/>
              <w:right w:val="single" w:color="000000" w:sz="4" w:space="0"/>
            </w:tcBorders>
            <w:shd w:val="clear"/>
            <w:vAlign w:val="center"/>
          </w:tcPr>
          <w:p w14:paraId="600EA7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绩效指标</w:t>
            </w: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743CEB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一级指标</w:t>
            </w: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538175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二级指标</w:t>
            </w: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553F95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三级指标</w:t>
            </w: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5550BA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指标性质</w:t>
            </w: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2E9E71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指标方向</w:t>
            </w: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07F3C1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年度指标值</w:t>
            </w: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154243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实际完成值</w:t>
            </w: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598E4E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计量单位</w:t>
            </w: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17E5DE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分值</w:t>
            </w: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325A37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得分</w:t>
            </w: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5962598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偏差原因分析及改进措施</w:t>
            </w:r>
          </w:p>
        </w:tc>
      </w:tr>
      <w:tr w14:paraId="75491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31" w:type="dxa"/>
            <w:vMerge w:val="restart"/>
            <w:tcBorders>
              <w:top w:val="single" w:color="000000" w:sz="4" w:space="0"/>
              <w:left w:val="single" w:color="000000" w:sz="4" w:space="0"/>
              <w:bottom w:val="nil"/>
              <w:right w:val="single" w:color="000000" w:sz="4" w:space="0"/>
            </w:tcBorders>
            <w:shd w:val="clear"/>
            <w:vAlign w:val="center"/>
          </w:tcPr>
          <w:p w14:paraId="0D0D96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绩效指标</w:t>
            </w:r>
          </w:p>
        </w:tc>
        <w:tc>
          <w:tcPr>
            <w:tcW w:w="831" w:type="dxa"/>
            <w:vMerge w:val="restart"/>
            <w:tcBorders>
              <w:top w:val="single" w:color="000000" w:sz="4" w:space="0"/>
              <w:left w:val="single" w:color="000000" w:sz="4" w:space="0"/>
              <w:bottom w:val="nil"/>
              <w:right w:val="single" w:color="000000" w:sz="4" w:space="0"/>
            </w:tcBorders>
            <w:shd w:val="clear"/>
            <w:vAlign w:val="center"/>
          </w:tcPr>
          <w:p w14:paraId="58FE53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产出指标</w:t>
            </w:r>
          </w:p>
        </w:tc>
        <w:tc>
          <w:tcPr>
            <w:tcW w:w="831" w:type="dxa"/>
            <w:vMerge w:val="restart"/>
            <w:tcBorders>
              <w:top w:val="single" w:color="000000" w:sz="4" w:space="0"/>
              <w:left w:val="single" w:color="000000" w:sz="4" w:space="0"/>
              <w:bottom w:val="nil"/>
              <w:right w:val="single" w:color="000000" w:sz="4" w:space="0"/>
            </w:tcBorders>
            <w:shd w:val="clear"/>
            <w:vAlign w:val="center"/>
          </w:tcPr>
          <w:p w14:paraId="397C28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数量指标</w:t>
            </w:r>
          </w:p>
        </w:tc>
        <w:tc>
          <w:tcPr>
            <w:tcW w:w="831" w:type="dxa"/>
            <w:tcBorders>
              <w:top w:val="single" w:color="000000" w:sz="4" w:space="0"/>
              <w:left w:val="single" w:color="000000" w:sz="4" w:space="0"/>
              <w:bottom w:val="nil"/>
              <w:right w:val="single" w:color="000000" w:sz="4" w:space="0"/>
            </w:tcBorders>
            <w:shd w:val="clear"/>
            <w:vAlign w:val="center"/>
          </w:tcPr>
          <w:p w14:paraId="1323B4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服务资金总金额</w:t>
            </w:r>
          </w:p>
        </w:tc>
        <w:tc>
          <w:tcPr>
            <w:tcW w:w="831" w:type="dxa"/>
            <w:tcBorders>
              <w:top w:val="single" w:color="000000" w:sz="4" w:space="0"/>
              <w:left w:val="single" w:color="000000" w:sz="4" w:space="0"/>
              <w:bottom w:val="nil"/>
              <w:right w:val="single" w:color="000000" w:sz="4" w:space="0"/>
            </w:tcBorders>
            <w:shd w:val="clear"/>
            <w:vAlign w:val="center"/>
          </w:tcPr>
          <w:p w14:paraId="42DB5E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正向</w:t>
            </w:r>
          </w:p>
        </w:tc>
        <w:tc>
          <w:tcPr>
            <w:tcW w:w="831" w:type="dxa"/>
            <w:tcBorders>
              <w:top w:val="single" w:color="000000" w:sz="4" w:space="0"/>
              <w:left w:val="single" w:color="000000" w:sz="4" w:space="0"/>
              <w:bottom w:val="nil"/>
              <w:right w:val="single" w:color="000000" w:sz="4" w:space="0"/>
            </w:tcBorders>
            <w:shd w:val="clear"/>
            <w:vAlign w:val="center"/>
          </w:tcPr>
          <w:p w14:paraId="15C9CD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等于</w:t>
            </w:r>
          </w:p>
        </w:tc>
        <w:tc>
          <w:tcPr>
            <w:tcW w:w="831" w:type="dxa"/>
            <w:tcBorders>
              <w:top w:val="single" w:color="000000" w:sz="4" w:space="0"/>
              <w:left w:val="single" w:color="000000" w:sz="4" w:space="0"/>
              <w:bottom w:val="nil"/>
              <w:right w:val="single" w:color="000000" w:sz="4" w:space="0"/>
            </w:tcBorders>
            <w:shd w:val="clear"/>
            <w:vAlign w:val="center"/>
          </w:tcPr>
          <w:p w14:paraId="371FD739">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bdr w:val="none" w:color="auto" w:sz="0" w:space="0"/>
                <w:lang w:val="en-US" w:eastAsia="zh-CN" w:bidi="ar"/>
              </w:rPr>
              <w:t>60</w:t>
            </w:r>
          </w:p>
        </w:tc>
        <w:tc>
          <w:tcPr>
            <w:tcW w:w="831" w:type="dxa"/>
            <w:tcBorders>
              <w:top w:val="single" w:color="000000" w:sz="4" w:space="0"/>
              <w:left w:val="single" w:color="000000" w:sz="4" w:space="0"/>
              <w:bottom w:val="nil"/>
              <w:right w:val="single" w:color="000000" w:sz="4" w:space="0"/>
            </w:tcBorders>
            <w:shd w:val="clear"/>
            <w:vAlign w:val="center"/>
          </w:tcPr>
          <w:p w14:paraId="705FFE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45CB15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万元</w:t>
            </w:r>
          </w:p>
        </w:tc>
        <w:tc>
          <w:tcPr>
            <w:tcW w:w="831" w:type="dxa"/>
            <w:tcBorders>
              <w:top w:val="single" w:color="000000" w:sz="4" w:space="0"/>
              <w:left w:val="single" w:color="000000" w:sz="4" w:space="0"/>
              <w:bottom w:val="nil"/>
              <w:right w:val="single" w:color="000000" w:sz="4" w:space="0"/>
            </w:tcBorders>
            <w:shd w:val="clear"/>
            <w:vAlign w:val="center"/>
          </w:tcPr>
          <w:p w14:paraId="21050A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831" w:type="dxa"/>
            <w:tcBorders>
              <w:top w:val="single" w:color="000000" w:sz="4" w:space="0"/>
              <w:left w:val="single" w:color="000000" w:sz="4" w:space="0"/>
              <w:bottom w:val="nil"/>
              <w:right w:val="single" w:color="000000" w:sz="4" w:space="0"/>
            </w:tcBorders>
            <w:shd w:val="clear"/>
            <w:vAlign w:val="center"/>
          </w:tcPr>
          <w:p w14:paraId="2D19C6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3DD5F3BA">
            <w:pPr>
              <w:jc w:val="center"/>
              <w:rPr>
                <w:rFonts w:hint="eastAsia" w:ascii="宋体" w:hAnsi="宋体" w:eastAsia="宋体" w:cs="宋体"/>
                <w:i w:val="0"/>
                <w:iCs w:val="0"/>
                <w:color w:val="000000"/>
                <w:sz w:val="18"/>
                <w:szCs w:val="18"/>
                <w:u w:val="none"/>
              </w:rPr>
            </w:pPr>
          </w:p>
        </w:tc>
      </w:tr>
      <w:tr w14:paraId="33088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31" w:type="dxa"/>
            <w:vMerge w:val="continue"/>
            <w:tcBorders>
              <w:top w:val="single" w:color="000000" w:sz="4" w:space="0"/>
              <w:left w:val="single" w:color="000000" w:sz="4" w:space="0"/>
              <w:bottom w:val="nil"/>
              <w:right w:val="single" w:color="000000" w:sz="4" w:space="0"/>
            </w:tcBorders>
            <w:shd w:val="clear"/>
            <w:vAlign w:val="center"/>
          </w:tcPr>
          <w:p w14:paraId="7D0892F8">
            <w:pPr>
              <w:jc w:val="center"/>
              <w:rPr>
                <w:rFonts w:hint="eastAsia" w:ascii="宋体" w:hAnsi="宋体" w:eastAsia="宋体" w:cs="宋体"/>
                <w:i w:val="0"/>
                <w:iCs w:val="0"/>
                <w:color w:val="000000"/>
                <w:sz w:val="18"/>
                <w:szCs w:val="18"/>
                <w:u w:val="none"/>
              </w:rPr>
            </w:pPr>
          </w:p>
        </w:tc>
        <w:tc>
          <w:tcPr>
            <w:tcW w:w="831" w:type="dxa"/>
            <w:vMerge w:val="continue"/>
            <w:tcBorders>
              <w:top w:val="single" w:color="000000" w:sz="4" w:space="0"/>
              <w:left w:val="single" w:color="000000" w:sz="4" w:space="0"/>
              <w:bottom w:val="nil"/>
              <w:right w:val="single" w:color="000000" w:sz="4" w:space="0"/>
            </w:tcBorders>
            <w:shd w:val="clear"/>
            <w:vAlign w:val="center"/>
          </w:tcPr>
          <w:p w14:paraId="491B46FD">
            <w:pPr>
              <w:jc w:val="center"/>
              <w:rPr>
                <w:rFonts w:hint="eastAsia" w:ascii="宋体" w:hAnsi="宋体" w:eastAsia="宋体" w:cs="宋体"/>
                <w:i w:val="0"/>
                <w:iCs w:val="0"/>
                <w:color w:val="000000"/>
                <w:sz w:val="18"/>
                <w:szCs w:val="18"/>
                <w:u w:val="none"/>
              </w:rPr>
            </w:pPr>
          </w:p>
        </w:tc>
        <w:tc>
          <w:tcPr>
            <w:tcW w:w="831" w:type="dxa"/>
            <w:vMerge w:val="continue"/>
            <w:tcBorders>
              <w:top w:val="single" w:color="000000" w:sz="4" w:space="0"/>
              <w:left w:val="single" w:color="000000" w:sz="4" w:space="0"/>
              <w:bottom w:val="nil"/>
              <w:right w:val="single" w:color="000000" w:sz="4" w:space="0"/>
            </w:tcBorders>
            <w:shd w:val="clear"/>
            <w:vAlign w:val="center"/>
          </w:tcPr>
          <w:p w14:paraId="25864E60">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nil"/>
              <w:right w:val="single" w:color="000000" w:sz="4" w:space="0"/>
            </w:tcBorders>
            <w:shd w:val="clear"/>
            <w:vAlign w:val="center"/>
          </w:tcPr>
          <w:p w14:paraId="3924A9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指标调剂次数</w:t>
            </w:r>
          </w:p>
        </w:tc>
        <w:tc>
          <w:tcPr>
            <w:tcW w:w="831" w:type="dxa"/>
            <w:tcBorders>
              <w:top w:val="single" w:color="000000" w:sz="4" w:space="0"/>
              <w:left w:val="single" w:color="000000" w:sz="4" w:space="0"/>
              <w:bottom w:val="nil"/>
              <w:right w:val="single" w:color="000000" w:sz="4" w:space="0"/>
            </w:tcBorders>
            <w:shd w:val="clear"/>
            <w:vAlign w:val="center"/>
          </w:tcPr>
          <w:p w14:paraId="4B8390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反向</w:t>
            </w:r>
          </w:p>
        </w:tc>
        <w:tc>
          <w:tcPr>
            <w:tcW w:w="831" w:type="dxa"/>
            <w:tcBorders>
              <w:top w:val="single" w:color="000000" w:sz="4" w:space="0"/>
              <w:left w:val="single" w:color="000000" w:sz="4" w:space="0"/>
              <w:bottom w:val="nil"/>
              <w:right w:val="single" w:color="000000" w:sz="4" w:space="0"/>
            </w:tcBorders>
            <w:shd w:val="clear"/>
            <w:vAlign w:val="center"/>
          </w:tcPr>
          <w:p w14:paraId="087241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小于等于</w:t>
            </w:r>
          </w:p>
        </w:tc>
        <w:tc>
          <w:tcPr>
            <w:tcW w:w="831" w:type="dxa"/>
            <w:tcBorders>
              <w:top w:val="single" w:color="000000" w:sz="4" w:space="0"/>
              <w:left w:val="single" w:color="000000" w:sz="4" w:space="0"/>
              <w:bottom w:val="nil"/>
              <w:right w:val="single" w:color="000000" w:sz="4" w:space="0"/>
            </w:tcBorders>
            <w:shd w:val="clear"/>
            <w:vAlign w:val="center"/>
          </w:tcPr>
          <w:p w14:paraId="53FF6D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831" w:type="dxa"/>
            <w:tcBorders>
              <w:top w:val="single" w:color="000000" w:sz="4" w:space="0"/>
              <w:left w:val="single" w:color="000000" w:sz="4" w:space="0"/>
              <w:bottom w:val="nil"/>
              <w:right w:val="single" w:color="000000" w:sz="4" w:space="0"/>
            </w:tcBorders>
            <w:shd w:val="clear"/>
            <w:vAlign w:val="center"/>
          </w:tcPr>
          <w:p w14:paraId="093110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2B9E23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次</w:t>
            </w:r>
          </w:p>
        </w:tc>
        <w:tc>
          <w:tcPr>
            <w:tcW w:w="831" w:type="dxa"/>
            <w:tcBorders>
              <w:top w:val="single" w:color="000000" w:sz="4" w:space="0"/>
              <w:left w:val="single" w:color="000000" w:sz="4" w:space="0"/>
              <w:bottom w:val="nil"/>
              <w:right w:val="single" w:color="000000" w:sz="4" w:space="0"/>
            </w:tcBorders>
            <w:shd w:val="clear"/>
            <w:vAlign w:val="center"/>
          </w:tcPr>
          <w:p w14:paraId="1F223A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831" w:type="dxa"/>
            <w:tcBorders>
              <w:top w:val="single" w:color="000000" w:sz="4" w:space="0"/>
              <w:left w:val="single" w:color="000000" w:sz="4" w:space="0"/>
              <w:bottom w:val="nil"/>
              <w:right w:val="single" w:color="000000" w:sz="4" w:space="0"/>
            </w:tcBorders>
            <w:shd w:val="clear"/>
            <w:vAlign w:val="center"/>
          </w:tcPr>
          <w:p w14:paraId="0FC505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6F7DBC19">
            <w:pPr>
              <w:jc w:val="center"/>
              <w:rPr>
                <w:rFonts w:hint="eastAsia" w:ascii="宋体" w:hAnsi="宋体" w:eastAsia="宋体" w:cs="宋体"/>
                <w:i w:val="0"/>
                <w:iCs w:val="0"/>
                <w:color w:val="000000"/>
                <w:sz w:val="18"/>
                <w:szCs w:val="18"/>
                <w:u w:val="none"/>
              </w:rPr>
            </w:pPr>
          </w:p>
        </w:tc>
      </w:tr>
      <w:tr w14:paraId="53F48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31" w:type="dxa"/>
            <w:vMerge w:val="continue"/>
            <w:tcBorders>
              <w:top w:val="single" w:color="000000" w:sz="4" w:space="0"/>
              <w:left w:val="single" w:color="000000" w:sz="4" w:space="0"/>
              <w:bottom w:val="nil"/>
              <w:right w:val="single" w:color="000000" w:sz="4" w:space="0"/>
            </w:tcBorders>
            <w:shd w:val="clear"/>
            <w:vAlign w:val="center"/>
          </w:tcPr>
          <w:p w14:paraId="5A8AEF1D">
            <w:pPr>
              <w:jc w:val="center"/>
              <w:rPr>
                <w:rFonts w:hint="eastAsia" w:ascii="宋体" w:hAnsi="宋体" w:eastAsia="宋体" w:cs="宋体"/>
                <w:i w:val="0"/>
                <w:iCs w:val="0"/>
                <w:color w:val="000000"/>
                <w:sz w:val="18"/>
                <w:szCs w:val="18"/>
                <w:u w:val="none"/>
              </w:rPr>
            </w:pPr>
          </w:p>
        </w:tc>
        <w:tc>
          <w:tcPr>
            <w:tcW w:w="831" w:type="dxa"/>
            <w:vMerge w:val="continue"/>
            <w:tcBorders>
              <w:top w:val="single" w:color="000000" w:sz="4" w:space="0"/>
              <w:left w:val="single" w:color="000000" w:sz="4" w:space="0"/>
              <w:bottom w:val="nil"/>
              <w:right w:val="single" w:color="000000" w:sz="4" w:space="0"/>
            </w:tcBorders>
            <w:shd w:val="clear"/>
            <w:vAlign w:val="center"/>
          </w:tcPr>
          <w:p w14:paraId="7289BF9C">
            <w:pPr>
              <w:jc w:val="center"/>
              <w:rPr>
                <w:rFonts w:hint="eastAsia" w:ascii="宋体" w:hAnsi="宋体" w:eastAsia="宋体" w:cs="宋体"/>
                <w:i w:val="0"/>
                <w:iCs w:val="0"/>
                <w:color w:val="000000"/>
                <w:sz w:val="18"/>
                <w:szCs w:val="18"/>
                <w:u w:val="none"/>
              </w:rPr>
            </w:pPr>
          </w:p>
        </w:tc>
        <w:tc>
          <w:tcPr>
            <w:tcW w:w="831" w:type="dxa"/>
            <w:vMerge w:val="restart"/>
            <w:tcBorders>
              <w:top w:val="single" w:color="000000" w:sz="4" w:space="0"/>
              <w:left w:val="single" w:color="000000" w:sz="4" w:space="0"/>
              <w:bottom w:val="nil"/>
              <w:right w:val="single" w:color="000000" w:sz="4" w:space="0"/>
            </w:tcBorders>
            <w:shd w:val="clear"/>
            <w:vAlign w:val="center"/>
          </w:tcPr>
          <w:p w14:paraId="10C3AC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质量指标</w:t>
            </w:r>
          </w:p>
        </w:tc>
        <w:tc>
          <w:tcPr>
            <w:tcW w:w="831" w:type="dxa"/>
            <w:tcBorders>
              <w:top w:val="single" w:color="000000" w:sz="4" w:space="0"/>
              <w:left w:val="single" w:color="000000" w:sz="4" w:space="0"/>
              <w:bottom w:val="nil"/>
              <w:right w:val="single" w:color="000000" w:sz="4" w:space="0"/>
            </w:tcBorders>
            <w:shd w:val="clear"/>
            <w:vAlign w:val="center"/>
          </w:tcPr>
          <w:p w14:paraId="237F32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服务群众完成情况</w:t>
            </w:r>
          </w:p>
        </w:tc>
        <w:tc>
          <w:tcPr>
            <w:tcW w:w="831" w:type="dxa"/>
            <w:tcBorders>
              <w:top w:val="single" w:color="000000" w:sz="4" w:space="0"/>
              <w:left w:val="single" w:color="000000" w:sz="4" w:space="0"/>
              <w:bottom w:val="nil"/>
              <w:right w:val="single" w:color="000000" w:sz="4" w:space="0"/>
            </w:tcBorders>
            <w:shd w:val="clear"/>
            <w:vAlign w:val="center"/>
          </w:tcPr>
          <w:p w14:paraId="22E5BA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定性</w:t>
            </w:r>
          </w:p>
        </w:tc>
        <w:tc>
          <w:tcPr>
            <w:tcW w:w="831" w:type="dxa"/>
            <w:tcBorders>
              <w:top w:val="single" w:color="000000" w:sz="4" w:space="0"/>
              <w:left w:val="single" w:color="000000" w:sz="4" w:space="0"/>
              <w:bottom w:val="nil"/>
              <w:right w:val="single" w:color="000000" w:sz="4" w:space="0"/>
            </w:tcBorders>
            <w:shd w:val="clear"/>
            <w:vAlign w:val="center"/>
          </w:tcPr>
          <w:p w14:paraId="608DF75B">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nil"/>
              <w:right w:val="single" w:color="000000" w:sz="4" w:space="0"/>
            </w:tcBorders>
            <w:shd w:val="clear"/>
            <w:vAlign w:val="center"/>
          </w:tcPr>
          <w:p w14:paraId="0B352D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好</w:t>
            </w:r>
          </w:p>
        </w:tc>
        <w:tc>
          <w:tcPr>
            <w:tcW w:w="831" w:type="dxa"/>
            <w:tcBorders>
              <w:top w:val="single" w:color="000000" w:sz="4" w:space="0"/>
              <w:left w:val="single" w:color="000000" w:sz="4" w:space="0"/>
              <w:bottom w:val="nil"/>
              <w:right w:val="single" w:color="000000" w:sz="4" w:space="0"/>
            </w:tcBorders>
            <w:shd w:val="clear"/>
            <w:vAlign w:val="center"/>
          </w:tcPr>
          <w:p w14:paraId="33F69E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7AE69D56">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nil"/>
              <w:right w:val="single" w:color="000000" w:sz="4" w:space="0"/>
            </w:tcBorders>
            <w:shd w:val="clear"/>
            <w:vAlign w:val="center"/>
          </w:tcPr>
          <w:p w14:paraId="2890E3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831" w:type="dxa"/>
            <w:tcBorders>
              <w:top w:val="single" w:color="000000" w:sz="4" w:space="0"/>
              <w:left w:val="single" w:color="000000" w:sz="4" w:space="0"/>
              <w:bottom w:val="nil"/>
              <w:right w:val="single" w:color="000000" w:sz="4" w:space="0"/>
            </w:tcBorders>
            <w:shd w:val="clear"/>
            <w:vAlign w:val="center"/>
          </w:tcPr>
          <w:p w14:paraId="744EA9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757ECF5F">
            <w:pPr>
              <w:jc w:val="center"/>
              <w:rPr>
                <w:rFonts w:hint="eastAsia" w:ascii="宋体" w:hAnsi="宋体" w:eastAsia="宋体" w:cs="宋体"/>
                <w:i w:val="0"/>
                <w:iCs w:val="0"/>
                <w:color w:val="000000"/>
                <w:sz w:val="18"/>
                <w:szCs w:val="18"/>
                <w:u w:val="none"/>
              </w:rPr>
            </w:pPr>
          </w:p>
        </w:tc>
      </w:tr>
      <w:tr w14:paraId="56845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31" w:type="dxa"/>
            <w:vMerge w:val="continue"/>
            <w:tcBorders>
              <w:top w:val="single" w:color="000000" w:sz="4" w:space="0"/>
              <w:left w:val="single" w:color="000000" w:sz="4" w:space="0"/>
              <w:bottom w:val="nil"/>
              <w:right w:val="single" w:color="000000" w:sz="4" w:space="0"/>
            </w:tcBorders>
            <w:shd w:val="clear"/>
            <w:vAlign w:val="center"/>
          </w:tcPr>
          <w:p w14:paraId="35FA7158">
            <w:pPr>
              <w:jc w:val="center"/>
              <w:rPr>
                <w:rFonts w:hint="eastAsia" w:ascii="宋体" w:hAnsi="宋体" w:eastAsia="宋体" w:cs="宋体"/>
                <w:i w:val="0"/>
                <w:iCs w:val="0"/>
                <w:color w:val="000000"/>
                <w:sz w:val="18"/>
                <w:szCs w:val="18"/>
                <w:u w:val="none"/>
              </w:rPr>
            </w:pPr>
          </w:p>
        </w:tc>
        <w:tc>
          <w:tcPr>
            <w:tcW w:w="831" w:type="dxa"/>
            <w:vMerge w:val="continue"/>
            <w:tcBorders>
              <w:top w:val="single" w:color="000000" w:sz="4" w:space="0"/>
              <w:left w:val="single" w:color="000000" w:sz="4" w:space="0"/>
              <w:bottom w:val="nil"/>
              <w:right w:val="single" w:color="000000" w:sz="4" w:space="0"/>
            </w:tcBorders>
            <w:shd w:val="clear"/>
            <w:vAlign w:val="center"/>
          </w:tcPr>
          <w:p w14:paraId="554267BE">
            <w:pPr>
              <w:jc w:val="center"/>
              <w:rPr>
                <w:rFonts w:hint="eastAsia" w:ascii="宋体" w:hAnsi="宋体" w:eastAsia="宋体" w:cs="宋体"/>
                <w:i w:val="0"/>
                <w:iCs w:val="0"/>
                <w:color w:val="000000"/>
                <w:sz w:val="18"/>
                <w:szCs w:val="18"/>
                <w:u w:val="none"/>
              </w:rPr>
            </w:pPr>
          </w:p>
        </w:tc>
        <w:tc>
          <w:tcPr>
            <w:tcW w:w="831" w:type="dxa"/>
            <w:vMerge w:val="continue"/>
            <w:tcBorders>
              <w:top w:val="single" w:color="000000" w:sz="4" w:space="0"/>
              <w:left w:val="single" w:color="000000" w:sz="4" w:space="0"/>
              <w:bottom w:val="nil"/>
              <w:right w:val="single" w:color="000000" w:sz="4" w:space="0"/>
            </w:tcBorders>
            <w:shd w:val="clear"/>
            <w:vAlign w:val="center"/>
          </w:tcPr>
          <w:p w14:paraId="58D3F6D1">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nil"/>
              <w:right w:val="single" w:color="000000" w:sz="4" w:space="0"/>
            </w:tcBorders>
            <w:shd w:val="clear"/>
            <w:vAlign w:val="center"/>
          </w:tcPr>
          <w:p w14:paraId="06BD24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是否有效丰富居民文化生活</w:t>
            </w:r>
          </w:p>
        </w:tc>
        <w:tc>
          <w:tcPr>
            <w:tcW w:w="831" w:type="dxa"/>
            <w:tcBorders>
              <w:top w:val="single" w:color="000000" w:sz="4" w:space="0"/>
              <w:left w:val="single" w:color="000000" w:sz="4" w:space="0"/>
              <w:bottom w:val="nil"/>
              <w:right w:val="single" w:color="000000" w:sz="4" w:space="0"/>
            </w:tcBorders>
            <w:shd w:val="clear"/>
            <w:vAlign w:val="center"/>
          </w:tcPr>
          <w:p w14:paraId="6915C5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定性</w:t>
            </w:r>
          </w:p>
        </w:tc>
        <w:tc>
          <w:tcPr>
            <w:tcW w:w="831" w:type="dxa"/>
            <w:tcBorders>
              <w:top w:val="single" w:color="000000" w:sz="4" w:space="0"/>
              <w:left w:val="single" w:color="000000" w:sz="4" w:space="0"/>
              <w:bottom w:val="nil"/>
              <w:right w:val="single" w:color="000000" w:sz="4" w:space="0"/>
            </w:tcBorders>
            <w:shd w:val="clear"/>
            <w:vAlign w:val="center"/>
          </w:tcPr>
          <w:p w14:paraId="010E11A7">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nil"/>
              <w:right w:val="single" w:color="000000" w:sz="4" w:space="0"/>
            </w:tcBorders>
            <w:shd w:val="clear"/>
            <w:vAlign w:val="center"/>
          </w:tcPr>
          <w:p w14:paraId="0B4541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是</w:t>
            </w:r>
          </w:p>
        </w:tc>
        <w:tc>
          <w:tcPr>
            <w:tcW w:w="831" w:type="dxa"/>
            <w:tcBorders>
              <w:top w:val="single" w:color="000000" w:sz="4" w:space="0"/>
              <w:left w:val="single" w:color="000000" w:sz="4" w:space="0"/>
              <w:bottom w:val="nil"/>
              <w:right w:val="single" w:color="000000" w:sz="4" w:space="0"/>
            </w:tcBorders>
            <w:shd w:val="clear"/>
            <w:vAlign w:val="center"/>
          </w:tcPr>
          <w:p w14:paraId="587800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704DD3F5">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nil"/>
              <w:right w:val="single" w:color="000000" w:sz="4" w:space="0"/>
            </w:tcBorders>
            <w:shd w:val="clear"/>
            <w:vAlign w:val="center"/>
          </w:tcPr>
          <w:p w14:paraId="47A235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831" w:type="dxa"/>
            <w:tcBorders>
              <w:top w:val="single" w:color="000000" w:sz="4" w:space="0"/>
              <w:left w:val="single" w:color="000000" w:sz="4" w:space="0"/>
              <w:bottom w:val="nil"/>
              <w:right w:val="single" w:color="000000" w:sz="4" w:space="0"/>
            </w:tcBorders>
            <w:shd w:val="clear"/>
            <w:vAlign w:val="center"/>
          </w:tcPr>
          <w:p w14:paraId="05B123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672094F0">
            <w:pPr>
              <w:jc w:val="center"/>
              <w:rPr>
                <w:rFonts w:hint="eastAsia" w:ascii="宋体" w:hAnsi="宋体" w:eastAsia="宋体" w:cs="宋体"/>
                <w:i w:val="0"/>
                <w:iCs w:val="0"/>
                <w:color w:val="000000"/>
                <w:sz w:val="18"/>
                <w:szCs w:val="18"/>
                <w:u w:val="none"/>
              </w:rPr>
            </w:pPr>
          </w:p>
        </w:tc>
      </w:tr>
      <w:tr w14:paraId="6B920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31" w:type="dxa"/>
            <w:vMerge w:val="continue"/>
            <w:tcBorders>
              <w:top w:val="single" w:color="000000" w:sz="4" w:space="0"/>
              <w:left w:val="single" w:color="000000" w:sz="4" w:space="0"/>
              <w:bottom w:val="nil"/>
              <w:right w:val="single" w:color="000000" w:sz="4" w:space="0"/>
            </w:tcBorders>
            <w:shd w:val="clear"/>
            <w:vAlign w:val="center"/>
          </w:tcPr>
          <w:p w14:paraId="350BCC16">
            <w:pPr>
              <w:jc w:val="center"/>
              <w:rPr>
                <w:rFonts w:hint="eastAsia" w:ascii="宋体" w:hAnsi="宋体" w:eastAsia="宋体" w:cs="宋体"/>
                <w:i w:val="0"/>
                <w:iCs w:val="0"/>
                <w:color w:val="000000"/>
                <w:sz w:val="18"/>
                <w:szCs w:val="18"/>
                <w:u w:val="none"/>
              </w:rPr>
            </w:pPr>
          </w:p>
        </w:tc>
        <w:tc>
          <w:tcPr>
            <w:tcW w:w="831" w:type="dxa"/>
            <w:vMerge w:val="continue"/>
            <w:tcBorders>
              <w:top w:val="single" w:color="000000" w:sz="4" w:space="0"/>
              <w:left w:val="single" w:color="000000" w:sz="4" w:space="0"/>
              <w:bottom w:val="nil"/>
              <w:right w:val="single" w:color="000000" w:sz="4" w:space="0"/>
            </w:tcBorders>
            <w:shd w:val="clear"/>
            <w:vAlign w:val="center"/>
          </w:tcPr>
          <w:p w14:paraId="6061833A">
            <w:pPr>
              <w:jc w:val="center"/>
              <w:rPr>
                <w:rFonts w:hint="eastAsia" w:ascii="宋体" w:hAnsi="宋体" w:eastAsia="宋体" w:cs="宋体"/>
                <w:i w:val="0"/>
                <w:iCs w:val="0"/>
                <w:color w:val="000000"/>
                <w:sz w:val="18"/>
                <w:szCs w:val="18"/>
                <w:u w:val="none"/>
              </w:rPr>
            </w:pPr>
          </w:p>
        </w:tc>
        <w:tc>
          <w:tcPr>
            <w:tcW w:w="831" w:type="dxa"/>
            <w:vMerge w:val="restart"/>
            <w:tcBorders>
              <w:top w:val="single" w:color="000000" w:sz="4" w:space="0"/>
              <w:left w:val="single" w:color="000000" w:sz="4" w:space="0"/>
              <w:bottom w:val="nil"/>
              <w:right w:val="single" w:color="000000" w:sz="4" w:space="0"/>
            </w:tcBorders>
            <w:shd w:val="clear"/>
            <w:vAlign w:val="center"/>
          </w:tcPr>
          <w:p w14:paraId="1870D3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时效指标</w:t>
            </w:r>
          </w:p>
        </w:tc>
        <w:tc>
          <w:tcPr>
            <w:tcW w:w="831" w:type="dxa"/>
            <w:tcBorders>
              <w:top w:val="single" w:color="000000" w:sz="4" w:space="0"/>
              <w:left w:val="single" w:color="000000" w:sz="4" w:space="0"/>
              <w:bottom w:val="nil"/>
              <w:right w:val="single" w:color="000000" w:sz="4" w:space="0"/>
            </w:tcBorders>
            <w:shd w:val="clear"/>
            <w:vAlign w:val="center"/>
          </w:tcPr>
          <w:p w14:paraId="576A4A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及时请款</w:t>
            </w:r>
          </w:p>
        </w:tc>
        <w:tc>
          <w:tcPr>
            <w:tcW w:w="831" w:type="dxa"/>
            <w:tcBorders>
              <w:top w:val="single" w:color="000000" w:sz="4" w:space="0"/>
              <w:left w:val="single" w:color="000000" w:sz="4" w:space="0"/>
              <w:bottom w:val="nil"/>
              <w:right w:val="single" w:color="000000" w:sz="4" w:space="0"/>
            </w:tcBorders>
            <w:shd w:val="clear"/>
            <w:vAlign w:val="center"/>
          </w:tcPr>
          <w:p w14:paraId="198778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定性</w:t>
            </w:r>
          </w:p>
        </w:tc>
        <w:tc>
          <w:tcPr>
            <w:tcW w:w="831" w:type="dxa"/>
            <w:tcBorders>
              <w:top w:val="single" w:color="000000" w:sz="4" w:space="0"/>
              <w:left w:val="single" w:color="000000" w:sz="4" w:space="0"/>
              <w:bottom w:val="nil"/>
              <w:right w:val="single" w:color="000000" w:sz="4" w:space="0"/>
            </w:tcBorders>
            <w:shd w:val="clear"/>
            <w:vAlign w:val="center"/>
          </w:tcPr>
          <w:p w14:paraId="26EBE528">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nil"/>
              <w:right w:val="single" w:color="000000" w:sz="4" w:space="0"/>
            </w:tcBorders>
            <w:shd w:val="clear"/>
            <w:vAlign w:val="center"/>
          </w:tcPr>
          <w:p w14:paraId="7C6478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是</w:t>
            </w:r>
          </w:p>
        </w:tc>
        <w:tc>
          <w:tcPr>
            <w:tcW w:w="831" w:type="dxa"/>
            <w:tcBorders>
              <w:top w:val="single" w:color="000000" w:sz="4" w:space="0"/>
              <w:left w:val="single" w:color="000000" w:sz="4" w:space="0"/>
              <w:bottom w:val="nil"/>
              <w:right w:val="single" w:color="000000" w:sz="4" w:space="0"/>
            </w:tcBorders>
            <w:shd w:val="clear"/>
            <w:vAlign w:val="center"/>
          </w:tcPr>
          <w:p w14:paraId="37875F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0BBF5847">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nil"/>
              <w:right w:val="single" w:color="000000" w:sz="4" w:space="0"/>
            </w:tcBorders>
            <w:shd w:val="clear"/>
            <w:vAlign w:val="center"/>
          </w:tcPr>
          <w:p w14:paraId="1B99C8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831" w:type="dxa"/>
            <w:tcBorders>
              <w:top w:val="single" w:color="000000" w:sz="4" w:space="0"/>
              <w:left w:val="single" w:color="000000" w:sz="4" w:space="0"/>
              <w:bottom w:val="nil"/>
              <w:right w:val="single" w:color="000000" w:sz="4" w:space="0"/>
            </w:tcBorders>
            <w:shd w:val="clear"/>
            <w:vAlign w:val="center"/>
          </w:tcPr>
          <w:p w14:paraId="42A20F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63BF99C2">
            <w:pPr>
              <w:jc w:val="center"/>
              <w:rPr>
                <w:rFonts w:hint="eastAsia" w:ascii="宋体" w:hAnsi="宋体" w:eastAsia="宋体" w:cs="宋体"/>
                <w:i w:val="0"/>
                <w:iCs w:val="0"/>
                <w:color w:val="000000"/>
                <w:sz w:val="18"/>
                <w:szCs w:val="18"/>
                <w:u w:val="none"/>
              </w:rPr>
            </w:pPr>
          </w:p>
        </w:tc>
      </w:tr>
      <w:tr w14:paraId="553F3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31" w:type="dxa"/>
            <w:vMerge w:val="continue"/>
            <w:tcBorders>
              <w:top w:val="single" w:color="000000" w:sz="4" w:space="0"/>
              <w:left w:val="single" w:color="000000" w:sz="4" w:space="0"/>
              <w:bottom w:val="nil"/>
              <w:right w:val="single" w:color="000000" w:sz="4" w:space="0"/>
            </w:tcBorders>
            <w:shd w:val="clear"/>
            <w:vAlign w:val="center"/>
          </w:tcPr>
          <w:p w14:paraId="2328BA74">
            <w:pPr>
              <w:jc w:val="center"/>
              <w:rPr>
                <w:rFonts w:hint="eastAsia" w:ascii="宋体" w:hAnsi="宋体" w:eastAsia="宋体" w:cs="宋体"/>
                <w:i w:val="0"/>
                <w:iCs w:val="0"/>
                <w:color w:val="000000"/>
                <w:sz w:val="18"/>
                <w:szCs w:val="18"/>
                <w:u w:val="none"/>
              </w:rPr>
            </w:pPr>
          </w:p>
        </w:tc>
        <w:tc>
          <w:tcPr>
            <w:tcW w:w="831" w:type="dxa"/>
            <w:vMerge w:val="continue"/>
            <w:tcBorders>
              <w:top w:val="single" w:color="000000" w:sz="4" w:space="0"/>
              <w:left w:val="single" w:color="000000" w:sz="4" w:space="0"/>
              <w:bottom w:val="nil"/>
              <w:right w:val="single" w:color="000000" w:sz="4" w:space="0"/>
            </w:tcBorders>
            <w:shd w:val="clear"/>
            <w:vAlign w:val="center"/>
          </w:tcPr>
          <w:p w14:paraId="5EB684F9">
            <w:pPr>
              <w:jc w:val="center"/>
              <w:rPr>
                <w:rFonts w:hint="eastAsia" w:ascii="宋体" w:hAnsi="宋体" w:eastAsia="宋体" w:cs="宋体"/>
                <w:i w:val="0"/>
                <w:iCs w:val="0"/>
                <w:color w:val="000000"/>
                <w:sz w:val="18"/>
                <w:szCs w:val="18"/>
                <w:u w:val="none"/>
              </w:rPr>
            </w:pPr>
          </w:p>
        </w:tc>
        <w:tc>
          <w:tcPr>
            <w:tcW w:w="831" w:type="dxa"/>
            <w:vMerge w:val="continue"/>
            <w:tcBorders>
              <w:top w:val="single" w:color="000000" w:sz="4" w:space="0"/>
              <w:left w:val="single" w:color="000000" w:sz="4" w:space="0"/>
              <w:bottom w:val="nil"/>
              <w:right w:val="single" w:color="000000" w:sz="4" w:space="0"/>
            </w:tcBorders>
            <w:shd w:val="clear"/>
            <w:vAlign w:val="center"/>
          </w:tcPr>
          <w:p w14:paraId="79DE3CAC">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nil"/>
              <w:right w:val="single" w:color="000000" w:sz="4" w:space="0"/>
            </w:tcBorders>
            <w:shd w:val="clear"/>
            <w:vAlign w:val="center"/>
          </w:tcPr>
          <w:p w14:paraId="066B23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及时拨款</w:t>
            </w:r>
          </w:p>
        </w:tc>
        <w:tc>
          <w:tcPr>
            <w:tcW w:w="831" w:type="dxa"/>
            <w:tcBorders>
              <w:top w:val="single" w:color="000000" w:sz="4" w:space="0"/>
              <w:left w:val="single" w:color="000000" w:sz="4" w:space="0"/>
              <w:bottom w:val="nil"/>
              <w:right w:val="single" w:color="000000" w:sz="4" w:space="0"/>
            </w:tcBorders>
            <w:shd w:val="clear"/>
            <w:vAlign w:val="center"/>
          </w:tcPr>
          <w:p w14:paraId="62189C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定性</w:t>
            </w:r>
          </w:p>
        </w:tc>
        <w:tc>
          <w:tcPr>
            <w:tcW w:w="831" w:type="dxa"/>
            <w:tcBorders>
              <w:top w:val="single" w:color="000000" w:sz="4" w:space="0"/>
              <w:left w:val="single" w:color="000000" w:sz="4" w:space="0"/>
              <w:bottom w:val="nil"/>
              <w:right w:val="single" w:color="000000" w:sz="4" w:space="0"/>
            </w:tcBorders>
            <w:shd w:val="clear"/>
            <w:vAlign w:val="center"/>
          </w:tcPr>
          <w:p w14:paraId="68E46790">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nil"/>
              <w:right w:val="single" w:color="000000" w:sz="4" w:space="0"/>
            </w:tcBorders>
            <w:shd w:val="clear"/>
            <w:vAlign w:val="center"/>
          </w:tcPr>
          <w:p w14:paraId="7E8D2C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是</w:t>
            </w:r>
          </w:p>
        </w:tc>
        <w:tc>
          <w:tcPr>
            <w:tcW w:w="831" w:type="dxa"/>
            <w:tcBorders>
              <w:top w:val="single" w:color="000000" w:sz="4" w:space="0"/>
              <w:left w:val="single" w:color="000000" w:sz="4" w:space="0"/>
              <w:bottom w:val="nil"/>
              <w:right w:val="single" w:color="000000" w:sz="4" w:space="0"/>
            </w:tcBorders>
            <w:shd w:val="clear"/>
            <w:vAlign w:val="center"/>
          </w:tcPr>
          <w:p w14:paraId="40A08F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1D709F74">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nil"/>
              <w:right w:val="single" w:color="000000" w:sz="4" w:space="0"/>
            </w:tcBorders>
            <w:shd w:val="clear"/>
            <w:vAlign w:val="center"/>
          </w:tcPr>
          <w:p w14:paraId="07A3B4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831" w:type="dxa"/>
            <w:tcBorders>
              <w:top w:val="single" w:color="000000" w:sz="4" w:space="0"/>
              <w:left w:val="single" w:color="000000" w:sz="4" w:space="0"/>
              <w:bottom w:val="nil"/>
              <w:right w:val="single" w:color="000000" w:sz="4" w:space="0"/>
            </w:tcBorders>
            <w:shd w:val="clear"/>
            <w:vAlign w:val="center"/>
          </w:tcPr>
          <w:p w14:paraId="3C9919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7C466E9D">
            <w:pPr>
              <w:jc w:val="center"/>
              <w:rPr>
                <w:rFonts w:hint="eastAsia" w:ascii="宋体" w:hAnsi="宋体" w:eastAsia="宋体" w:cs="宋体"/>
                <w:i w:val="0"/>
                <w:iCs w:val="0"/>
                <w:color w:val="000000"/>
                <w:sz w:val="18"/>
                <w:szCs w:val="18"/>
                <w:u w:val="none"/>
              </w:rPr>
            </w:pPr>
          </w:p>
        </w:tc>
      </w:tr>
      <w:tr w14:paraId="1E884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31" w:type="dxa"/>
            <w:vMerge w:val="continue"/>
            <w:tcBorders>
              <w:top w:val="single" w:color="000000" w:sz="4" w:space="0"/>
              <w:left w:val="single" w:color="000000" w:sz="4" w:space="0"/>
              <w:bottom w:val="nil"/>
              <w:right w:val="single" w:color="000000" w:sz="4" w:space="0"/>
            </w:tcBorders>
            <w:shd w:val="clear"/>
            <w:vAlign w:val="center"/>
          </w:tcPr>
          <w:p w14:paraId="2DAA1B3A">
            <w:pPr>
              <w:jc w:val="center"/>
              <w:rPr>
                <w:rFonts w:hint="eastAsia" w:ascii="宋体" w:hAnsi="宋体" w:eastAsia="宋体" w:cs="宋体"/>
                <w:i w:val="0"/>
                <w:iCs w:val="0"/>
                <w:color w:val="000000"/>
                <w:sz w:val="18"/>
                <w:szCs w:val="18"/>
                <w:u w:val="none"/>
              </w:rPr>
            </w:pPr>
          </w:p>
        </w:tc>
        <w:tc>
          <w:tcPr>
            <w:tcW w:w="831" w:type="dxa"/>
            <w:vMerge w:val="continue"/>
            <w:tcBorders>
              <w:top w:val="single" w:color="000000" w:sz="4" w:space="0"/>
              <w:left w:val="single" w:color="000000" w:sz="4" w:space="0"/>
              <w:bottom w:val="nil"/>
              <w:right w:val="single" w:color="000000" w:sz="4" w:space="0"/>
            </w:tcBorders>
            <w:shd w:val="clear"/>
            <w:vAlign w:val="center"/>
          </w:tcPr>
          <w:p w14:paraId="10835BAD">
            <w:pPr>
              <w:jc w:val="center"/>
              <w:rPr>
                <w:rFonts w:hint="eastAsia" w:ascii="宋体" w:hAnsi="宋体" w:eastAsia="宋体" w:cs="宋体"/>
                <w:i w:val="0"/>
                <w:iCs w:val="0"/>
                <w:color w:val="000000"/>
                <w:sz w:val="18"/>
                <w:szCs w:val="18"/>
                <w:u w:val="none"/>
              </w:rPr>
            </w:pPr>
          </w:p>
        </w:tc>
        <w:tc>
          <w:tcPr>
            <w:tcW w:w="831" w:type="dxa"/>
            <w:vMerge w:val="restart"/>
            <w:tcBorders>
              <w:top w:val="single" w:color="000000" w:sz="4" w:space="0"/>
              <w:left w:val="single" w:color="000000" w:sz="4" w:space="0"/>
              <w:bottom w:val="nil"/>
              <w:right w:val="single" w:color="000000" w:sz="4" w:space="0"/>
            </w:tcBorders>
            <w:shd w:val="clear"/>
            <w:vAlign w:val="center"/>
          </w:tcPr>
          <w:p w14:paraId="6E7EA9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成本指标</w:t>
            </w:r>
          </w:p>
        </w:tc>
        <w:tc>
          <w:tcPr>
            <w:tcW w:w="831" w:type="dxa"/>
            <w:tcBorders>
              <w:top w:val="single" w:color="000000" w:sz="4" w:space="0"/>
              <w:left w:val="single" w:color="000000" w:sz="4" w:space="0"/>
              <w:bottom w:val="nil"/>
              <w:right w:val="single" w:color="000000" w:sz="4" w:space="0"/>
            </w:tcBorders>
            <w:shd w:val="clear"/>
            <w:vAlign w:val="center"/>
          </w:tcPr>
          <w:p w14:paraId="3A7634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服务群众所需资金</w:t>
            </w:r>
          </w:p>
        </w:tc>
        <w:tc>
          <w:tcPr>
            <w:tcW w:w="831" w:type="dxa"/>
            <w:tcBorders>
              <w:top w:val="single" w:color="000000" w:sz="4" w:space="0"/>
              <w:left w:val="single" w:color="000000" w:sz="4" w:space="0"/>
              <w:bottom w:val="nil"/>
              <w:right w:val="single" w:color="000000" w:sz="4" w:space="0"/>
            </w:tcBorders>
            <w:shd w:val="clear"/>
            <w:vAlign w:val="center"/>
          </w:tcPr>
          <w:p w14:paraId="3DC007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正向</w:t>
            </w:r>
          </w:p>
        </w:tc>
        <w:tc>
          <w:tcPr>
            <w:tcW w:w="831" w:type="dxa"/>
            <w:tcBorders>
              <w:top w:val="single" w:color="000000" w:sz="4" w:space="0"/>
              <w:left w:val="single" w:color="000000" w:sz="4" w:space="0"/>
              <w:bottom w:val="nil"/>
              <w:right w:val="single" w:color="000000" w:sz="4" w:space="0"/>
            </w:tcBorders>
            <w:shd w:val="clear"/>
            <w:vAlign w:val="center"/>
          </w:tcPr>
          <w:p w14:paraId="2DBFC9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等于</w:t>
            </w:r>
          </w:p>
        </w:tc>
        <w:tc>
          <w:tcPr>
            <w:tcW w:w="831" w:type="dxa"/>
            <w:tcBorders>
              <w:top w:val="single" w:color="000000" w:sz="4" w:space="0"/>
              <w:left w:val="single" w:color="000000" w:sz="4" w:space="0"/>
              <w:bottom w:val="nil"/>
              <w:right w:val="single" w:color="000000" w:sz="4" w:space="0"/>
            </w:tcBorders>
            <w:shd w:val="clear"/>
            <w:vAlign w:val="center"/>
          </w:tcPr>
          <w:p w14:paraId="265F5B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435222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0EE9EF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万元</w:t>
            </w:r>
          </w:p>
        </w:tc>
        <w:tc>
          <w:tcPr>
            <w:tcW w:w="831" w:type="dxa"/>
            <w:tcBorders>
              <w:top w:val="single" w:color="000000" w:sz="4" w:space="0"/>
              <w:left w:val="single" w:color="000000" w:sz="4" w:space="0"/>
              <w:bottom w:val="nil"/>
              <w:right w:val="single" w:color="000000" w:sz="4" w:space="0"/>
            </w:tcBorders>
            <w:shd w:val="clear"/>
            <w:vAlign w:val="center"/>
          </w:tcPr>
          <w:p w14:paraId="21D40A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831" w:type="dxa"/>
            <w:tcBorders>
              <w:top w:val="single" w:color="000000" w:sz="4" w:space="0"/>
              <w:left w:val="single" w:color="000000" w:sz="4" w:space="0"/>
              <w:bottom w:val="nil"/>
              <w:right w:val="single" w:color="000000" w:sz="4" w:space="0"/>
            </w:tcBorders>
            <w:shd w:val="clear"/>
            <w:vAlign w:val="center"/>
          </w:tcPr>
          <w:p w14:paraId="781B26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14407AEE">
            <w:pPr>
              <w:jc w:val="center"/>
              <w:rPr>
                <w:rFonts w:hint="eastAsia" w:ascii="宋体" w:hAnsi="宋体" w:eastAsia="宋体" w:cs="宋体"/>
                <w:i w:val="0"/>
                <w:iCs w:val="0"/>
                <w:color w:val="000000"/>
                <w:sz w:val="18"/>
                <w:szCs w:val="18"/>
                <w:u w:val="none"/>
              </w:rPr>
            </w:pPr>
          </w:p>
        </w:tc>
      </w:tr>
      <w:tr w14:paraId="37E74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31" w:type="dxa"/>
            <w:vMerge w:val="continue"/>
            <w:tcBorders>
              <w:top w:val="single" w:color="000000" w:sz="4" w:space="0"/>
              <w:left w:val="single" w:color="000000" w:sz="4" w:space="0"/>
              <w:bottom w:val="nil"/>
              <w:right w:val="single" w:color="000000" w:sz="4" w:space="0"/>
            </w:tcBorders>
            <w:shd w:val="clear"/>
            <w:vAlign w:val="center"/>
          </w:tcPr>
          <w:p w14:paraId="362FDEB6">
            <w:pPr>
              <w:jc w:val="center"/>
              <w:rPr>
                <w:rFonts w:hint="eastAsia" w:ascii="宋体" w:hAnsi="宋体" w:eastAsia="宋体" w:cs="宋体"/>
                <w:i w:val="0"/>
                <w:iCs w:val="0"/>
                <w:color w:val="000000"/>
                <w:sz w:val="18"/>
                <w:szCs w:val="18"/>
                <w:u w:val="none"/>
              </w:rPr>
            </w:pPr>
          </w:p>
        </w:tc>
        <w:tc>
          <w:tcPr>
            <w:tcW w:w="831" w:type="dxa"/>
            <w:vMerge w:val="continue"/>
            <w:tcBorders>
              <w:top w:val="single" w:color="000000" w:sz="4" w:space="0"/>
              <w:left w:val="single" w:color="000000" w:sz="4" w:space="0"/>
              <w:bottom w:val="nil"/>
              <w:right w:val="single" w:color="000000" w:sz="4" w:space="0"/>
            </w:tcBorders>
            <w:shd w:val="clear"/>
            <w:vAlign w:val="center"/>
          </w:tcPr>
          <w:p w14:paraId="7BC75431">
            <w:pPr>
              <w:jc w:val="center"/>
              <w:rPr>
                <w:rFonts w:hint="eastAsia" w:ascii="宋体" w:hAnsi="宋体" w:eastAsia="宋体" w:cs="宋体"/>
                <w:i w:val="0"/>
                <w:iCs w:val="0"/>
                <w:color w:val="000000"/>
                <w:sz w:val="18"/>
                <w:szCs w:val="18"/>
                <w:u w:val="none"/>
              </w:rPr>
            </w:pPr>
          </w:p>
        </w:tc>
        <w:tc>
          <w:tcPr>
            <w:tcW w:w="831" w:type="dxa"/>
            <w:vMerge w:val="continue"/>
            <w:tcBorders>
              <w:top w:val="single" w:color="000000" w:sz="4" w:space="0"/>
              <w:left w:val="single" w:color="000000" w:sz="4" w:space="0"/>
              <w:bottom w:val="nil"/>
              <w:right w:val="single" w:color="000000" w:sz="4" w:space="0"/>
            </w:tcBorders>
            <w:shd w:val="clear"/>
            <w:vAlign w:val="center"/>
          </w:tcPr>
          <w:p w14:paraId="53260F79">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nil"/>
              <w:right w:val="single" w:color="000000" w:sz="4" w:space="0"/>
            </w:tcBorders>
            <w:shd w:val="clear"/>
            <w:vAlign w:val="center"/>
          </w:tcPr>
          <w:p w14:paraId="306C45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服务群众所需人员</w:t>
            </w:r>
          </w:p>
        </w:tc>
        <w:tc>
          <w:tcPr>
            <w:tcW w:w="831" w:type="dxa"/>
            <w:tcBorders>
              <w:top w:val="single" w:color="000000" w:sz="4" w:space="0"/>
              <w:left w:val="single" w:color="000000" w:sz="4" w:space="0"/>
              <w:bottom w:val="nil"/>
              <w:right w:val="single" w:color="000000" w:sz="4" w:space="0"/>
            </w:tcBorders>
            <w:shd w:val="clear"/>
            <w:vAlign w:val="center"/>
          </w:tcPr>
          <w:p w14:paraId="18DB50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反向</w:t>
            </w:r>
          </w:p>
        </w:tc>
        <w:tc>
          <w:tcPr>
            <w:tcW w:w="831" w:type="dxa"/>
            <w:tcBorders>
              <w:top w:val="single" w:color="000000" w:sz="4" w:space="0"/>
              <w:left w:val="single" w:color="000000" w:sz="4" w:space="0"/>
              <w:bottom w:val="nil"/>
              <w:right w:val="single" w:color="000000" w:sz="4" w:space="0"/>
            </w:tcBorders>
            <w:shd w:val="clear"/>
            <w:vAlign w:val="center"/>
          </w:tcPr>
          <w:p w14:paraId="2913AA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小于等于</w:t>
            </w:r>
          </w:p>
        </w:tc>
        <w:tc>
          <w:tcPr>
            <w:tcW w:w="831" w:type="dxa"/>
            <w:tcBorders>
              <w:top w:val="single" w:color="000000" w:sz="4" w:space="0"/>
              <w:left w:val="single" w:color="000000" w:sz="4" w:space="0"/>
              <w:bottom w:val="nil"/>
              <w:right w:val="single" w:color="000000" w:sz="4" w:space="0"/>
            </w:tcBorders>
            <w:shd w:val="clear"/>
            <w:vAlign w:val="center"/>
          </w:tcPr>
          <w:p w14:paraId="0034F6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831" w:type="dxa"/>
            <w:tcBorders>
              <w:top w:val="single" w:color="000000" w:sz="4" w:space="0"/>
              <w:left w:val="single" w:color="000000" w:sz="4" w:space="0"/>
              <w:bottom w:val="nil"/>
              <w:right w:val="single" w:color="000000" w:sz="4" w:space="0"/>
            </w:tcBorders>
            <w:shd w:val="clear"/>
            <w:vAlign w:val="center"/>
          </w:tcPr>
          <w:p w14:paraId="584532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4E73DC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人</w:t>
            </w:r>
          </w:p>
        </w:tc>
        <w:tc>
          <w:tcPr>
            <w:tcW w:w="831" w:type="dxa"/>
            <w:tcBorders>
              <w:top w:val="single" w:color="000000" w:sz="4" w:space="0"/>
              <w:left w:val="single" w:color="000000" w:sz="4" w:space="0"/>
              <w:bottom w:val="nil"/>
              <w:right w:val="single" w:color="000000" w:sz="4" w:space="0"/>
            </w:tcBorders>
            <w:shd w:val="clear"/>
            <w:vAlign w:val="center"/>
          </w:tcPr>
          <w:p w14:paraId="08FA74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831" w:type="dxa"/>
            <w:tcBorders>
              <w:top w:val="single" w:color="000000" w:sz="4" w:space="0"/>
              <w:left w:val="single" w:color="000000" w:sz="4" w:space="0"/>
              <w:bottom w:val="nil"/>
              <w:right w:val="single" w:color="000000" w:sz="4" w:space="0"/>
            </w:tcBorders>
            <w:shd w:val="clear"/>
            <w:vAlign w:val="center"/>
          </w:tcPr>
          <w:p w14:paraId="18B5CC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4E6B600F">
            <w:pPr>
              <w:jc w:val="center"/>
              <w:rPr>
                <w:rFonts w:hint="eastAsia" w:ascii="宋体" w:hAnsi="宋体" w:eastAsia="宋体" w:cs="宋体"/>
                <w:i w:val="0"/>
                <w:iCs w:val="0"/>
                <w:color w:val="000000"/>
                <w:sz w:val="18"/>
                <w:szCs w:val="18"/>
                <w:u w:val="none"/>
              </w:rPr>
            </w:pPr>
          </w:p>
        </w:tc>
      </w:tr>
      <w:tr w14:paraId="2691C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31" w:type="dxa"/>
            <w:vMerge w:val="continue"/>
            <w:tcBorders>
              <w:top w:val="single" w:color="000000" w:sz="4" w:space="0"/>
              <w:left w:val="single" w:color="000000" w:sz="4" w:space="0"/>
              <w:bottom w:val="nil"/>
              <w:right w:val="single" w:color="000000" w:sz="4" w:space="0"/>
            </w:tcBorders>
            <w:shd w:val="clear"/>
            <w:vAlign w:val="center"/>
          </w:tcPr>
          <w:p w14:paraId="075C3FAB">
            <w:pPr>
              <w:jc w:val="center"/>
              <w:rPr>
                <w:rFonts w:hint="eastAsia" w:ascii="宋体" w:hAnsi="宋体" w:eastAsia="宋体" w:cs="宋体"/>
                <w:i w:val="0"/>
                <w:iCs w:val="0"/>
                <w:color w:val="000000"/>
                <w:sz w:val="18"/>
                <w:szCs w:val="18"/>
                <w:u w:val="none"/>
              </w:rPr>
            </w:pPr>
          </w:p>
        </w:tc>
        <w:tc>
          <w:tcPr>
            <w:tcW w:w="831" w:type="dxa"/>
            <w:vMerge w:val="restart"/>
            <w:tcBorders>
              <w:top w:val="single" w:color="000000" w:sz="4" w:space="0"/>
              <w:left w:val="single" w:color="000000" w:sz="4" w:space="0"/>
              <w:bottom w:val="nil"/>
              <w:right w:val="single" w:color="000000" w:sz="4" w:space="0"/>
            </w:tcBorders>
            <w:shd w:val="clear"/>
            <w:vAlign w:val="center"/>
          </w:tcPr>
          <w:p w14:paraId="17B617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效益指标</w:t>
            </w:r>
          </w:p>
        </w:tc>
        <w:tc>
          <w:tcPr>
            <w:tcW w:w="831" w:type="dxa"/>
            <w:tcBorders>
              <w:top w:val="single" w:color="000000" w:sz="4" w:space="0"/>
              <w:left w:val="single" w:color="000000" w:sz="4" w:space="0"/>
              <w:bottom w:val="nil"/>
              <w:right w:val="single" w:color="000000" w:sz="4" w:space="0"/>
            </w:tcBorders>
            <w:shd w:val="clear"/>
            <w:vAlign w:val="center"/>
          </w:tcPr>
          <w:p w14:paraId="79A000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经济效益指标</w:t>
            </w:r>
          </w:p>
        </w:tc>
        <w:tc>
          <w:tcPr>
            <w:tcW w:w="831" w:type="dxa"/>
            <w:tcBorders>
              <w:top w:val="single" w:color="000000" w:sz="4" w:space="0"/>
              <w:left w:val="single" w:color="000000" w:sz="4" w:space="0"/>
              <w:bottom w:val="nil"/>
              <w:right w:val="single" w:color="000000" w:sz="4" w:space="0"/>
            </w:tcBorders>
            <w:shd w:val="clear"/>
            <w:vAlign w:val="center"/>
          </w:tcPr>
          <w:p w14:paraId="6626EF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服务群众经济效益</w:t>
            </w:r>
          </w:p>
        </w:tc>
        <w:tc>
          <w:tcPr>
            <w:tcW w:w="831" w:type="dxa"/>
            <w:tcBorders>
              <w:top w:val="single" w:color="000000" w:sz="4" w:space="0"/>
              <w:left w:val="single" w:color="000000" w:sz="4" w:space="0"/>
              <w:bottom w:val="nil"/>
              <w:right w:val="single" w:color="000000" w:sz="4" w:space="0"/>
            </w:tcBorders>
            <w:shd w:val="clear"/>
            <w:vAlign w:val="center"/>
          </w:tcPr>
          <w:p w14:paraId="05B897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正向</w:t>
            </w:r>
          </w:p>
        </w:tc>
        <w:tc>
          <w:tcPr>
            <w:tcW w:w="831" w:type="dxa"/>
            <w:tcBorders>
              <w:top w:val="single" w:color="000000" w:sz="4" w:space="0"/>
              <w:left w:val="single" w:color="000000" w:sz="4" w:space="0"/>
              <w:bottom w:val="nil"/>
              <w:right w:val="single" w:color="000000" w:sz="4" w:space="0"/>
            </w:tcBorders>
            <w:shd w:val="clear"/>
            <w:vAlign w:val="center"/>
          </w:tcPr>
          <w:p w14:paraId="1E5837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大于等于</w:t>
            </w:r>
          </w:p>
        </w:tc>
        <w:tc>
          <w:tcPr>
            <w:tcW w:w="831" w:type="dxa"/>
            <w:tcBorders>
              <w:top w:val="single" w:color="000000" w:sz="4" w:space="0"/>
              <w:left w:val="single" w:color="000000" w:sz="4" w:space="0"/>
              <w:bottom w:val="nil"/>
              <w:right w:val="single" w:color="000000" w:sz="4" w:space="0"/>
            </w:tcBorders>
            <w:shd w:val="clear"/>
            <w:vAlign w:val="center"/>
          </w:tcPr>
          <w:p w14:paraId="7FC436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50</w:t>
            </w:r>
          </w:p>
        </w:tc>
        <w:tc>
          <w:tcPr>
            <w:tcW w:w="831" w:type="dxa"/>
            <w:tcBorders>
              <w:top w:val="single" w:color="000000" w:sz="4" w:space="0"/>
              <w:left w:val="single" w:color="000000" w:sz="4" w:space="0"/>
              <w:bottom w:val="nil"/>
              <w:right w:val="single" w:color="000000" w:sz="4" w:space="0"/>
            </w:tcBorders>
            <w:shd w:val="clear"/>
            <w:vAlign w:val="center"/>
          </w:tcPr>
          <w:p w14:paraId="6AF3E8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0389F7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元</w:t>
            </w:r>
          </w:p>
        </w:tc>
        <w:tc>
          <w:tcPr>
            <w:tcW w:w="831" w:type="dxa"/>
            <w:tcBorders>
              <w:top w:val="single" w:color="000000" w:sz="4" w:space="0"/>
              <w:left w:val="single" w:color="000000" w:sz="4" w:space="0"/>
              <w:bottom w:val="nil"/>
              <w:right w:val="single" w:color="000000" w:sz="4" w:space="0"/>
            </w:tcBorders>
            <w:shd w:val="clear"/>
            <w:vAlign w:val="center"/>
          </w:tcPr>
          <w:p w14:paraId="56730D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831" w:type="dxa"/>
            <w:tcBorders>
              <w:top w:val="single" w:color="000000" w:sz="4" w:space="0"/>
              <w:left w:val="single" w:color="000000" w:sz="4" w:space="0"/>
              <w:bottom w:val="nil"/>
              <w:right w:val="single" w:color="000000" w:sz="4" w:space="0"/>
            </w:tcBorders>
            <w:shd w:val="clear"/>
            <w:vAlign w:val="center"/>
          </w:tcPr>
          <w:p w14:paraId="2EB1FC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7E33E4E1">
            <w:pPr>
              <w:jc w:val="center"/>
              <w:rPr>
                <w:rFonts w:hint="eastAsia" w:ascii="宋体" w:hAnsi="宋体" w:eastAsia="宋体" w:cs="宋体"/>
                <w:i w:val="0"/>
                <w:iCs w:val="0"/>
                <w:color w:val="000000"/>
                <w:sz w:val="18"/>
                <w:szCs w:val="18"/>
                <w:u w:val="none"/>
              </w:rPr>
            </w:pPr>
          </w:p>
        </w:tc>
      </w:tr>
      <w:tr w14:paraId="6322F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31" w:type="dxa"/>
            <w:vMerge w:val="continue"/>
            <w:tcBorders>
              <w:top w:val="single" w:color="000000" w:sz="4" w:space="0"/>
              <w:left w:val="single" w:color="000000" w:sz="4" w:space="0"/>
              <w:bottom w:val="nil"/>
              <w:right w:val="single" w:color="000000" w:sz="4" w:space="0"/>
            </w:tcBorders>
            <w:shd w:val="clear"/>
            <w:vAlign w:val="center"/>
          </w:tcPr>
          <w:p w14:paraId="163E69CA">
            <w:pPr>
              <w:jc w:val="center"/>
              <w:rPr>
                <w:rFonts w:hint="eastAsia" w:ascii="宋体" w:hAnsi="宋体" w:eastAsia="宋体" w:cs="宋体"/>
                <w:i w:val="0"/>
                <w:iCs w:val="0"/>
                <w:color w:val="000000"/>
                <w:sz w:val="18"/>
                <w:szCs w:val="18"/>
                <w:u w:val="none"/>
              </w:rPr>
            </w:pPr>
          </w:p>
        </w:tc>
        <w:tc>
          <w:tcPr>
            <w:tcW w:w="831" w:type="dxa"/>
            <w:vMerge w:val="continue"/>
            <w:tcBorders>
              <w:top w:val="single" w:color="000000" w:sz="4" w:space="0"/>
              <w:left w:val="single" w:color="000000" w:sz="4" w:space="0"/>
              <w:bottom w:val="nil"/>
              <w:right w:val="single" w:color="000000" w:sz="4" w:space="0"/>
            </w:tcBorders>
            <w:shd w:val="clear"/>
            <w:vAlign w:val="center"/>
          </w:tcPr>
          <w:p w14:paraId="70913ECC">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nil"/>
              <w:right w:val="single" w:color="000000" w:sz="4" w:space="0"/>
            </w:tcBorders>
            <w:shd w:val="clear"/>
            <w:vAlign w:val="center"/>
          </w:tcPr>
          <w:p w14:paraId="1FF2A3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社会效益指标</w:t>
            </w:r>
          </w:p>
        </w:tc>
        <w:tc>
          <w:tcPr>
            <w:tcW w:w="831" w:type="dxa"/>
            <w:tcBorders>
              <w:top w:val="single" w:color="000000" w:sz="4" w:space="0"/>
              <w:left w:val="single" w:color="000000" w:sz="4" w:space="0"/>
              <w:bottom w:val="nil"/>
              <w:right w:val="single" w:color="000000" w:sz="4" w:space="0"/>
            </w:tcBorders>
            <w:shd w:val="clear"/>
            <w:vAlign w:val="center"/>
          </w:tcPr>
          <w:p w14:paraId="37FDD7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社区党组织服务群众社会效益</w:t>
            </w:r>
          </w:p>
        </w:tc>
        <w:tc>
          <w:tcPr>
            <w:tcW w:w="831" w:type="dxa"/>
            <w:tcBorders>
              <w:top w:val="single" w:color="000000" w:sz="4" w:space="0"/>
              <w:left w:val="single" w:color="000000" w:sz="4" w:space="0"/>
              <w:bottom w:val="nil"/>
              <w:right w:val="single" w:color="000000" w:sz="4" w:space="0"/>
            </w:tcBorders>
            <w:shd w:val="clear"/>
            <w:vAlign w:val="center"/>
          </w:tcPr>
          <w:p w14:paraId="56BE9E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定性</w:t>
            </w:r>
          </w:p>
        </w:tc>
        <w:tc>
          <w:tcPr>
            <w:tcW w:w="831" w:type="dxa"/>
            <w:tcBorders>
              <w:top w:val="single" w:color="000000" w:sz="4" w:space="0"/>
              <w:left w:val="single" w:color="000000" w:sz="4" w:space="0"/>
              <w:bottom w:val="nil"/>
              <w:right w:val="single" w:color="000000" w:sz="4" w:space="0"/>
            </w:tcBorders>
            <w:shd w:val="clear"/>
            <w:vAlign w:val="center"/>
          </w:tcPr>
          <w:p w14:paraId="206EE504">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nil"/>
              <w:right w:val="single" w:color="000000" w:sz="4" w:space="0"/>
            </w:tcBorders>
            <w:shd w:val="clear"/>
            <w:vAlign w:val="center"/>
          </w:tcPr>
          <w:p w14:paraId="5F2235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好</w:t>
            </w:r>
          </w:p>
        </w:tc>
        <w:tc>
          <w:tcPr>
            <w:tcW w:w="831" w:type="dxa"/>
            <w:tcBorders>
              <w:top w:val="single" w:color="000000" w:sz="4" w:space="0"/>
              <w:left w:val="single" w:color="000000" w:sz="4" w:space="0"/>
              <w:bottom w:val="nil"/>
              <w:right w:val="single" w:color="000000" w:sz="4" w:space="0"/>
            </w:tcBorders>
            <w:shd w:val="clear"/>
            <w:vAlign w:val="center"/>
          </w:tcPr>
          <w:p w14:paraId="5F7C0B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7959B913">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nil"/>
              <w:right w:val="single" w:color="000000" w:sz="4" w:space="0"/>
            </w:tcBorders>
            <w:shd w:val="clear"/>
            <w:vAlign w:val="center"/>
          </w:tcPr>
          <w:p w14:paraId="22F199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831" w:type="dxa"/>
            <w:tcBorders>
              <w:top w:val="single" w:color="000000" w:sz="4" w:space="0"/>
              <w:left w:val="single" w:color="000000" w:sz="4" w:space="0"/>
              <w:bottom w:val="nil"/>
              <w:right w:val="single" w:color="000000" w:sz="4" w:space="0"/>
            </w:tcBorders>
            <w:shd w:val="clear"/>
            <w:vAlign w:val="center"/>
          </w:tcPr>
          <w:p w14:paraId="03771B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4E476AC7">
            <w:pPr>
              <w:jc w:val="center"/>
              <w:rPr>
                <w:rFonts w:hint="eastAsia" w:ascii="宋体" w:hAnsi="宋体" w:eastAsia="宋体" w:cs="宋体"/>
                <w:i w:val="0"/>
                <w:iCs w:val="0"/>
                <w:color w:val="000000"/>
                <w:sz w:val="18"/>
                <w:szCs w:val="18"/>
                <w:u w:val="none"/>
              </w:rPr>
            </w:pPr>
          </w:p>
        </w:tc>
      </w:tr>
      <w:tr w14:paraId="4D000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31" w:type="dxa"/>
            <w:vMerge w:val="continue"/>
            <w:tcBorders>
              <w:top w:val="single" w:color="000000" w:sz="4" w:space="0"/>
              <w:left w:val="single" w:color="000000" w:sz="4" w:space="0"/>
              <w:bottom w:val="nil"/>
              <w:right w:val="single" w:color="000000" w:sz="4" w:space="0"/>
            </w:tcBorders>
            <w:shd w:val="clear"/>
            <w:vAlign w:val="center"/>
          </w:tcPr>
          <w:p w14:paraId="5B83CD58">
            <w:pPr>
              <w:jc w:val="center"/>
              <w:rPr>
                <w:rFonts w:hint="eastAsia" w:ascii="宋体" w:hAnsi="宋体" w:eastAsia="宋体" w:cs="宋体"/>
                <w:i w:val="0"/>
                <w:iCs w:val="0"/>
                <w:color w:val="000000"/>
                <w:sz w:val="18"/>
                <w:szCs w:val="18"/>
                <w:u w:val="none"/>
              </w:rPr>
            </w:pPr>
          </w:p>
        </w:tc>
        <w:tc>
          <w:tcPr>
            <w:tcW w:w="831" w:type="dxa"/>
            <w:vMerge w:val="continue"/>
            <w:tcBorders>
              <w:top w:val="single" w:color="000000" w:sz="4" w:space="0"/>
              <w:left w:val="single" w:color="000000" w:sz="4" w:space="0"/>
              <w:bottom w:val="nil"/>
              <w:right w:val="single" w:color="000000" w:sz="4" w:space="0"/>
            </w:tcBorders>
            <w:shd w:val="clear"/>
            <w:vAlign w:val="center"/>
          </w:tcPr>
          <w:p w14:paraId="56DC7153">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nil"/>
              <w:right w:val="single" w:color="000000" w:sz="4" w:space="0"/>
            </w:tcBorders>
            <w:shd w:val="clear"/>
            <w:vAlign w:val="center"/>
          </w:tcPr>
          <w:p w14:paraId="10814C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生态效益指标</w:t>
            </w:r>
          </w:p>
        </w:tc>
        <w:tc>
          <w:tcPr>
            <w:tcW w:w="831" w:type="dxa"/>
            <w:tcBorders>
              <w:top w:val="single" w:color="000000" w:sz="4" w:space="0"/>
              <w:left w:val="single" w:color="000000" w:sz="4" w:space="0"/>
              <w:bottom w:val="nil"/>
              <w:right w:val="single" w:color="000000" w:sz="4" w:space="0"/>
            </w:tcBorders>
            <w:shd w:val="clear"/>
            <w:vAlign w:val="center"/>
          </w:tcPr>
          <w:p w14:paraId="260D88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社区党组织服务群众</w:t>
            </w:r>
          </w:p>
        </w:tc>
        <w:tc>
          <w:tcPr>
            <w:tcW w:w="831" w:type="dxa"/>
            <w:tcBorders>
              <w:top w:val="single" w:color="000000" w:sz="4" w:space="0"/>
              <w:left w:val="single" w:color="000000" w:sz="4" w:space="0"/>
              <w:bottom w:val="nil"/>
              <w:right w:val="single" w:color="000000" w:sz="4" w:space="0"/>
            </w:tcBorders>
            <w:shd w:val="clear"/>
            <w:vAlign w:val="center"/>
          </w:tcPr>
          <w:p w14:paraId="5EE9EE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定性</w:t>
            </w:r>
          </w:p>
        </w:tc>
        <w:tc>
          <w:tcPr>
            <w:tcW w:w="831" w:type="dxa"/>
            <w:tcBorders>
              <w:top w:val="single" w:color="000000" w:sz="4" w:space="0"/>
              <w:left w:val="single" w:color="000000" w:sz="4" w:space="0"/>
              <w:bottom w:val="nil"/>
              <w:right w:val="single" w:color="000000" w:sz="4" w:space="0"/>
            </w:tcBorders>
            <w:shd w:val="clear"/>
            <w:vAlign w:val="center"/>
          </w:tcPr>
          <w:p w14:paraId="125718ED">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nil"/>
              <w:right w:val="single" w:color="000000" w:sz="4" w:space="0"/>
            </w:tcBorders>
            <w:shd w:val="clear"/>
            <w:vAlign w:val="center"/>
          </w:tcPr>
          <w:p w14:paraId="444370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优</w:t>
            </w:r>
          </w:p>
        </w:tc>
        <w:tc>
          <w:tcPr>
            <w:tcW w:w="831" w:type="dxa"/>
            <w:tcBorders>
              <w:top w:val="single" w:color="000000" w:sz="4" w:space="0"/>
              <w:left w:val="single" w:color="000000" w:sz="4" w:space="0"/>
              <w:bottom w:val="nil"/>
              <w:right w:val="single" w:color="000000" w:sz="4" w:space="0"/>
            </w:tcBorders>
            <w:shd w:val="clear"/>
            <w:vAlign w:val="center"/>
          </w:tcPr>
          <w:p w14:paraId="5D1D9A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0FD4C829">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nil"/>
              <w:right w:val="single" w:color="000000" w:sz="4" w:space="0"/>
            </w:tcBorders>
            <w:shd w:val="clear"/>
            <w:vAlign w:val="center"/>
          </w:tcPr>
          <w:p w14:paraId="4E86E9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831" w:type="dxa"/>
            <w:tcBorders>
              <w:top w:val="single" w:color="000000" w:sz="4" w:space="0"/>
              <w:left w:val="single" w:color="000000" w:sz="4" w:space="0"/>
              <w:bottom w:val="nil"/>
              <w:right w:val="single" w:color="000000" w:sz="4" w:space="0"/>
            </w:tcBorders>
            <w:shd w:val="clear"/>
            <w:vAlign w:val="center"/>
          </w:tcPr>
          <w:p w14:paraId="262650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7AF01476">
            <w:pPr>
              <w:jc w:val="center"/>
              <w:rPr>
                <w:rFonts w:hint="eastAsia" w:ascii="宋体" w:hAnsi="宋体" w:eastAsia="宋体" w:cs="宋体"/>
                <w:i w:val="0"/>
                <w:iCs w:val="0"/>
                <w:color w:val="000000"/>
                <w:sz w:val="18"/>
                <w:szCs w:val="18"/>
                <w:u w:val="none"/>
              </w:rPr>
            </w:pPr>
          </w:p>
        </w:tc>
      </w:tr>
      <w:tr w14:paraId="2878C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31" w:type="dxa"/>
            <w:vMerge w:val="continue"/>
            <w:tcBorders>
              <w:top w:val="single" w:color="000000" w:sz="4" w:space="0"/>
              <w:left w:val="single" w:color="000000" w:sz="4" w:space="0"/>
              <w:bottom w:val="nil"/>
              <w:right w:val="single" w:color="000000" w:sz="4" w:space="0"/>
            </w:tcBorders>
            <w:shd w:val="clear"/>
            <w:vAlign w:val="center"/>
          </w:tcPr>
          <w:p w14:paraId="4B372F6B">
            <w:pPr>
              <w:jc w:val="center"/>
              <w:rPr>
                <w:rFonts w:hint="eastAsia" w:ascii="宋体" w:hAnsi="宋体" w:eastAsia="宋体" w:cs="宋体"/>
                <w:i w:val="0"/>
                <w:iCs w:val="0"/>
                <w:color w:val="000000"/>
                <w:sz w:val="18"/>
                <w:szCs w:val="18"/>
                <w:u w:val="none"/>
              </w:rPr>
            </w:pPr>
          </w:p>
        </w:tc>
        <w:tc>
          <w:tcPr>
            <w:tcW w:w="831" w:type="dxa"/>
            <w:vMerge w:val="continue"/>
            <w:tcBorders>
              <w:top w:val="single" w:color="000000" w:sz="4" w:space="0"/>
              <w:left w:val="single" w:color="000000" w:sz="4" w:space="0"/>
              <w:bottom w:val="nil"/>
              <w:right w:val="single" w:color="000000" w:sz="4" w:space="0"/>
            </w:tcBorders>
            <w:shd w:val="clear"/>
            <w:vAlign w:val="center"/>
          </w:tcPr>
          <w:p w14:paraId="1B32ABED">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nil"/>
              <w:right w:val="single" w:color="000000" w:sz="4" w:space="0"/>
            </w:tcBorders>
            <w:shd w:val="clear"/>
            <w:vAlign w:val="center"/>
          </w:tcPr>
          <w:p w14:paraId="7F272C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可持续影响指标</w:t>
            </w:r>
          </w:p>
        </w:tc>
        <w:tc>
          <w:tcPr>
            <w:tcW w:w="831" w:type="dxa"/>
            <w:tcBorders>
              <w:top w:val="single" w:color="000000" w:sz="4" w:space="0"/>
              <w:left w:val="single" w:color="000000" w:sz="4" w:space="0"/>
              <w:bottom w:val="nil"/>
              <w:right w:val="single" w:color="000000" w:sz="4" w:space="0"/>
            </w:tcBorders>
            <w:shd w:val="clear"/>
            <w:vAlign w:val="center"/>
          </w:tcPr>
          <w:p w14:paraId="11955C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社区党组织服务群众</w:t>
            </w:r>
          </w:p>
        </w:tc>
        <w:tc>
          <w:tcPr>
            <w:tcW w:w="831" w:type="dxa"/>
            <w:tcBorders>
              <w:top w:val="single" w:color="000000" w:sz="4" w:space="0"/>
              <w:left w:val="single" w:color="000000" w:sz="4" w:space="0"/>
              <w:bottom w:val="nil"/>
              <w:right w:val="single" w:color="000000" w:sz="4" w:space="0"/>
            </w:tcBorders>
            <w:shd w:val="clear"/>
            <w:vAlign w:val="center"/>
          </w:tcPr>
          <w:p w14:paraId="50C13E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定性</w:t>
            </w:r>
          </w:p>
        </w:tc>
        <w:tc>
          <w:tcPr>
            <w:tcW w:w="831" w:type="dxa"/>
            <w:tcBorders>
              <w:top w:val="single" w:color="000000" w:sz="4" w:space="0"/>
              <w:left w:val="single" w:color="000000" w:sz="4" w:space="0"/>
              <w:bottom w:val="nil"/>
              <w:right w:val="single" w:color="000000" w:sz="4" w:space="0"/>
            </w:tcBorders>
            <w:shd w:val="clear"/>
            <w:vAlign w:val="center"/>
          </w:tcPr>
          <w:p w14:paraId="1B7E7791">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nil"/>
              <w:right w:val="single" w:color="000000" w:sz="4" w:space="0"/>
            </w:tcBorders>
            <w:shd w:val="clear"/>
            <w:vAlign w:val="center"/>
          </w:tcPr>
          <w:p w14:paraId="3DA0DA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是</w:t>
            </w:r>
          </w:p>
        </w:tc>
        <w:tc>
          <w:tcPr>
            <w:tcW w:w="831" w:type="dxa"/>
            <w:tcBorders>
              <w:top w:val="single" w:color="000000" w:sz="4" w:space="0"/>
              <w:left w:val="single" w:color="000000" w:sz="4" w:space="0"/>
              <w:bottom w:val="nil"/>
              <w:right w:val="single" w:color="000000" w:sz="4" w:space="0"/>
            </w:tcBorders>
            <w:shd w:val="clear"/>
            <w:vAlign w:val="center"/>
          </w:tcPr>
          <w:p w14:paraId="2034F4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4B81DFDC">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nil"/>
              <w:right w:val="single" w:color="000000" w:sz="4" w:space="0"/>
            </w:tcBorders>
            <w:shd w:val="clear"/>
            <w:vAlign w:val="center"/>
          </w:tcPr>
          <w:p w14:paraId="292A5F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831" w:type="dxa"/>
            <w:tcBorders>
              <w:top w:val="single" w:color="000000" w:sz="4" w:space="0"/>
              <w:left w:val="single" w:color="000000" w:sz="4" w:space="0"/>
              <w:bottom w:val="nil"/>
              <w:right w:val="single" w:color="000000" w:sz="4" w:space="0"/>
            </w:tcBorders>
            <w:shd w:val="clear"/>
            <w:vAlign w:val="center"/>
          </w:tcPr>
          <w:p w14:paraId="3FD800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00613F95">
            <w:pPr>
              <w:jc w:val="center"/>
              <w:rPr>
                <w:rFonts w:hint="eastAsia" w:ascii="宋体" w:hAnsi="宋体" w:eastAsia="宋体" w:cs="宋体"/>
                <w:i w:val="0"/>
                <w:iCs w:val="0"/>
                <w:color w:val="000000"/>
                <w:sz w:val="18"/>
                <w:szCs w:val="18"/>
                <w:u w:val="none"/>
              </w:rPr>
            </w:pPr>
          </w:p>
        </w:tc>
      </w:tr>
      <w:tr w14:paraId="26B35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31" w:type="dxa"/>
            <w:vMerge w:val="continue"/>
            <w:tcBorders>
              <w:top w:val="single" w:color="000000" w:sz="4" w:space="0"/>
              <w:left w:val="single" w:color="000000" w:sz="4" w:space="0"/>
              <w:bottom w:val="nil"/>
              <w:right w:val="single" w:color="000000" w:sz="4" w:space="0"/>
            </w:tcBorders>
            <w:shd w:val="clear"/>
            <w:vAlign w:val="center"/>
          </w:tcPr>
          <w:p w14:paraId="0FE48F1A">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nil"/>
              <w:right w:val="single" w:color="000000" w:sz="4" w:space="0"/>
            </w:tcBorders>
            <w:shd w:val="clear"/>
            <w:vAlign w:val="center"/>
          </w:tcPr>
          <w:p w14:paraId="0EB620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满意度指标</w:t>
            </w:r>
          </w:p>
        </w:tc>
        <w:tc>
          <w:tcPr>
            <w:tcW w:w="831" w:type="dxa"/>
            <w:tcBorders>
              <w:top w:val="single" w:color="000000" w:sz="4" w:space="0"/>
              <w:left w:val="single" w:color="000000" w:sz="4" w:space="0"/>
              <w:bottom w:val="nil"/>
              <w:right w:val="single" w:color="000000" w:sz="4" w:space="0"/>
            </w:tcBorders>
            <w:shd w:val="clear"/>
            <w:vAlign w:val="center"/>
          </w:tcPr>
          <w:p w14:paraId="1F5BEE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服务对象满意度指标</w:t>
            </w:r>
          </w:p>
        </w:tc>
        <w:tc>
          <w:tcPr>
            <w:tcW w:w="831" w:type="dxa"/>
            <w:tcBorders>
              <w:top w:val="single" w:color="000000" w:sz="4" w:space="0"/>
              <w:left w:val="single" w:color="000000" w:sz="4" w:space="0"/>
              <w:bottom w:val="nil"/>
              <w:right w:val="single" w:color="000000" w:sz="4" w:space="0"/>
            </w:tcBorders>
            <w:shd w:val="clear"/>
            <w:vAlign w:val="center"/>
          </w:tcPr>
          <w:p w14:paraId="1E6B72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辖区群众满意度</w:t>
            </w:r>
          </w:p>
        </w:tc>
        <w:tc>
          <w:tcPr>
            <w:tcW w:w="831" w:type="dxa"/>
            <w:tcBorders>
              <w:top w:val="single" w:color="000000" w:sz="4" w:space="0"/>
              <w:left w:val="single" w:color="000000" w:sz="4" w:space="0"/>
              <w:bottom w:val="nil"/>
              <w:right w:val="single" w:color="000000" w:sz="4" w:space="0"/>
            </w:tcBorders>
            <w:shd w:val="clear"/>
            <w:vAlign w:val="center"/>
          </w:tcPr>
          <w:p w14:paraId="625145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正向</w:t>
            </w:r>
          </w:p>
        </w:tc>
        <w:tc>
          <w:tcPr>
            <w:tcW w:w="831" w:type="dxa"/>
            <w:tcBorders>
              <w:top w:val="single" w:color="000000" w:sz="4" w:space="0"/>
              <w:left w:val="single" w:color="000000" w:sz="4" w:space="0"/>
              <w:bottom w:val="nil"/>
              <w:right w:val="single" w:color="000000" w:sz="4" w:space="0"/>
            </w:tcBorders>
            <w:shd w:val="clear"/>
            <w:vAlign w:val="center"/>
          </w:tcPr>
          <w:p w14:paraId="590AAE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大于等于</w:t>
            </w:r>
          </w:p>
        </w:tc>
        <w:tc>
          <w:tcPr>
            <w:tcW w:w="831" w:type="dxa"/>
            <w:tcBorders>
              <w:top w:val="single" w:color="000000" w:sz="4" w:space="0"/>
              <w:left w:val="single" w:color="000000" w:sz="4" w:space="0"/>
              <w:bottom w:val="nil"/>
              <w:right w:val="single" w:color="000000" w:sz="4" w:space="0"/>
            </w:tcBorders>
            <w:shd w:val="clear"/>
            <w:vAlign w:val="center"/>
          </w:tcPr>
          <w:p w14:paraId="39B7CE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90</w:t>
            </w:r>
          </w:p>
        </w:tc>
        <w:tc>
          <w:tcPr>
            <w:tcW w:w="831" w:type="dxa"/>
            <w:tcBorders>
              <w:top w:val="single" w:color="000000" w:sz="4" w:space="0"/>
              <w:left w:val="single" w:color="000000" w:sz="4" w:space="0"/>
              <w:bottom w:val="nil"/>
              <w:right w:val="single" w:color="000000" w:sz="4" w:space="0"/>
            </w:tcBorders>
            <w:shd w:val="clear"/>
            <w:vAlign w:val="center"/>
          </w:tcPr>
          <w:p w14:paraId="2D3FA4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3564A5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百分比</w:t>
            </w:r>
          </w:p>
        </w:tc>
        <w:tc>
          <w:tcPr>
            <w:tcW w:w="831" w:type="dxa"/>
            <w:tcBorders>
              <w:top w:val="single" w:color="000000" w:sz="4" w:space="0"/>
              <w:left w:val="single" w:color="000000" w:sz="4" w:space="0"/>
              <w:bottom w:val="nil"/>
              <w:right w:val="single" w:color="000000" w:sz="4" w:space="0"/>
            </w:tcBorders>
            <w:shd w:val="clear"/>
            <w:vAlign w:val="center"/>
          </w:tcPr>
          <w:p w14:paraId="7DFE53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831" w:type="dxa"/>
            <w:tcBorders>
              <w:top w:val="single" w:color="000000" w:sz="4" w:space="0"/>
              <w:left w:val="single" w:color="000000" w:sz="4" w:space="0"/>
              <w:bottom w:val="nil"/>
              <w:right w:val="single" w:color="000000" w:sz="4" w:space="0"/>
            </w:tcBorders>
            <w:shd w:val="clear"/>
            <w:vAlign w:val="center"/>
          </w:tcPr>
          <w:p w14:paraId="7A649B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31" w:type="dxa"/>
            <w:tcBorders>
              <w:top w:val="single" w:color="000000" w:sz="4" w:space="0"/>
              <w:left w:val="single" w:color="000000" w:sz="4" w:space="0"/>
              <w:bottom w:val="nil"/>
              <w:right w:val="single" w:color="000000" w:sz="4" w:space="0"/>
            </w:tcBorders>
            <w:shd w:val="clear"/>
            <w:vAlign w:val="center"/>
          </w:tcPr>
          <w:p w14:paraId="033E342B">
            <w:pPr>
              <w:jc w:val="center"/>
              <w:rPr>
                <w:rFonts w:hint="eastAsia" w:ascii="宋体" w:hAnsi="宋体" w:eastAsia="宋体" w:cs="宋体"/>
                <w:i w:val="0"/>
                <w:iCs w:val="0"/>
                <w:color w:val="000000"/>
                <w:sz w:val="18"/>
                <w:szCs w:val="18"/>
                <w:u w:val="none"/>
              </w:rPr>
            </w:pPr>
          </w:p>
        </w:tc>
      </w:tr>
      <w:tr w14:paraId="6E9E8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479" w:type="dxa"/>
            <w:gridSpan w:val="9"/>
            <w:tcBorders>
              <w:top w:val="single" w:color="000000" w:sz="4" w:space="0"/>
              <w:left w:val="single" w:color="000000" w:sz="4" w:space="0"/>
              <w:bottom w:val="single" w:color="000000" w:sz="4" w:space="0"/>
              <w:right w:val="single" w:color="000000" w:sz="4" w:space="0"/>
            </w:tcBorders>
            <w:shd w:val="clear"/>
            <w:vAlign w:val="center"/>
          </w:tcPr>
          <w:p w14:paraId="1817F3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总分</w:t>
            </w: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0307B7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2CD451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10.00</w:t>
            </w:r>
          </w:p>
        </w:tc>
        <w:tc>
          <w:tcPr>
            <w:tcW w:w="831" w:type="dxa"/>
            <w:tcBorders>
              <w:top w:val="single" w:color="000000" w:sz="4" w:space="0"/>
              <w:left w:val="single" w:color="000000" w:sz="4" w:space="0"/>
              <w:bottom w:val="single" w:color="000000" w:sz="4" w:space="0"/>
              <w:right w:val="single" w:color="000000" w:sz="4" w:space="0"/>
            </w:tcBorders>
            <w:shd w:val="clear"/>
            <w:vAlign w:val="center"/>
          </w:tcPr>
          <w:p w14:paraId="1654ABDA">
            <w:pPr>
              <w:jc w:val="center"/>
              <w:rPr>
                <w:rFonts w:hint="eastAsia" w:ascii="宋体" w:hAnsi="宋体" w:eastAsia="宋体" w:cs="宋体"/>
                <w:i w:val="0"/>
                <w:iCs w:val="0"/>
                <w:color w:val="000000"/>
                <w:sz w:val="18"/>
                <w:szCs w:val="18"/>
                <w:u w:val="none"/>
              </w:rPr>
            </w:pPr>
          </w:p>
        </w:tc>
      </w:tr>
    </w:tbl>
    <w:p w14:paraId="39D0A71B">
      <w:pPr>
        <w:keepNext w:val="0"/>
        <w:keepLines w:val="0"/>
        <w:pageBreakBefore w:val="0"/>
        <w:widowControl w:val="0"/>
        <w:numPr>
          <w:numId w:val="0"/>
        </w:numPr>
        <w:kinsoku/>
        <w:wordWrap/>
        <w:overflowPunct/>
        <w:topLinePunct/>
        <w:autoSpaceDE/>
        <w:autoSpaceDN/>
        <w:bidi w:val="0"/>
        <w:adjustRightInd/>
        <w:snapToGrid/>
        <w:spacing w:line="520" w:lineRule="exact"/>
        <w:ind w:right="0" w:rightChars="0"/>
        <w:jc w:val="both"/>
        <w:textAlignment w:val="auto"/>
        <w:outlineLvl w:val="9"/>
        <w:rPr>
          <w:rFonts w:hint="eastAsia" w:ascii="仿宋" w:hAnsi="仿宋" w:eastAsia="仿宋" w:cs="仿宋"/>
          <w:kern w:val="2"/>
          <w:sz w:val="32"/>
          <w:szCs w:val="32"/>
        </w:rPr>
      </w:pPr>
    </w:p>
    <w:p w14:paraId="4BBE3BFE">
      <w:pPr>
        <w:keepNext w:val="0"/>
        <w:keepLines w:val="0"/>
        <w:pageBreakBefore w:val="0"/>
        <w:widowControl w:val="0"/>
        <w:numPr>
          <w:numId w:val="0"/>
        </w:numPr>
        <w:kinsoku/>
        <w:wordWrap/>
        <w:overflowPunct/>
        <w:topLinePunct/>
        <w:autoSpaceDE/>
        <w:autoSpaceDN/>
        <w:bidi w:val="0"/>
        <w:adjustRightInd/>
        <w:snapToGrid/>
        <w:spacing w:line="520" w:lineRule="exact"/>
        <w:ind w:leftChars="200" w:right="0" w:rightChars="0"/>
        <w:jc w:val="both"/>
        <w:textAlignment w:val="auto"/>
        <w:outlineLvl w:val="9"/>
        <w:rPr>
          <w:rFonts w:hint="eastAsia" w:ascii="仿宋" w:hAnsi="仿宋" w:eastAsia="仿宋" w:cs="仿宋"/>
          <w:kern w:val="2"/>
          <w:sz w:val="32"/>
          <w:szCs w:val="32"/>
        </w:rPr>
      </w:pPr>
    </w:p>
    <w:p w14:paraId="6F03F52F">
      <w:pPr>
        <w:keepNext w:val="0"/>
        <w:keepLines w:val="0"/>
        <w:pageBreakBefore w:val="0"/>
        <w:widowControl w:val="0"/>
        <w:numPr>
          <w:ilvl w:val="0"/>
          <w:numId w:val="0"/>
        </w:numPr>
        <w:kinsoku/>
        <w:wordWrap/>
        <w:overflowPunct/>
        <w:topLinePunct/>
        <w:autoSpaceDE/>
        <w:autoSpaceDN/>
        <w:bidi w:val="0"/>
        <w:adjustRightInd/>
        <w:snapToGrid/>
        <w:spacing w:line="520" w:lineRule="exact"/>
        <w:ind w:right="0" w:rightChars="0"/>
        <w:jc w:val="both"/>
        <w:textAlignment w:val="auto"/>
        <w:outlineLvl w:val="9"/>
        <w:rPr>
          <w:rFonts w:hint="eastAsia" w:ascii="仿宋" w:hAnsi="仿宋" w:eastAsia="仿宋" w:cs="仿宋"/>
          <w:kern w:val="2"/>
          <w:sz w:val="32"/>
          <w:szCs w:val="32"/>
        </w:rPr>
      </w:pPr>
    </w:p>
    <w:tbl>
      <w:tblPr>
        <w:tblW w:w="102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855"/>
        <w:gridCol w:w="855"/>
        <w:gridCol w:w="855"/>
        <w:gridCol w:w="855"/>
        <w:gridCol w:w="855"/>
        <w:gridCol w:w="855"/>
        <w:gridCol w:w="855"/>
        <w:gridCol w:w="855"/>
        <w:gridCol w:w="855"/>
        <w:gridCol w:w="855"/>
        <w:gridCol w:w="855"/>
        <w:gridCol w:w="855"/>
      </w:tblGrid>
      <w:tr w14:paraId="1413D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20" w:hRule="atLeast"/>
        </w:trPr>
        <w:tc>
          <w:tcPr>
            <w:tcW w:w="10260" w:type="dxa"/>
            <w:gridSpan w:val="12"/>
            <w:tcBorders>
              <w:top w:val="single" w:color="000000" w:sz="4" w:space="0"/>
              <w:left w:val="single" w:color="000000" w:sz="4" w:space="0"/>
              <w:bottom w:val="single" w:color="000000" w:sz="4" w:space="0"/>
              <w:right w:val="single" w:color="000000" w:sz="4" w:space="0"/>
            </w:tcBorders>
            <w:shd w:val="clear"/>
            <w:vAlign w:val="center"/>
          </w:tcPr>
          <w:p w14:paraId="7BFD168F">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bdr w:val="none" w:color="auto" w:sz="0" w:space="0"/>
                <w:lang w:val="en-US" w:eastAsia="zh-CN" w:bidi="ar"/>
              </w:rPr>
              <w:t>项目支出绩效自评表</w:t>
            </w:r>
            <w:r>
              <w:rPr>
                <w:rFonts w:hint="eastAsia" w:ascii="宋体" w:hAnsi="宋体" w:eastAsia="宋体" w:cs="宋体"/>
                <w:b/>
                <w:bCs/>
                <w:i w:val="0"/>
                <w:iCs w:val="0"/>
                <w:color w:val="000000"/>
                <w:kern w:val="0"/>
                <w:sz w:val="40"/>
                <w:szCs w:val="40"/>
                <w:u w:val="none"/>
                <w:bdr w:val="none" w:color="auto" w:sz="0" w:space="0"/>
                <w:lang w:val="en-US" w:eastAsia="zh-CN" w:bidi="ar"/>
              </w:rPr>
              <w:br w:type="textWrapping"/>
            </w:r>
            <w:r>
              <w:rPr>
                <w:rFonts w:hint="eastAsia" w:ascii="宋体" w:hAnsi="宋体" w:eastAsia="宋体" w:cs="宋体"/>
                <w:b/>
                <w:bCs/>
                <w:i w:val="0"/>
                <w:iCs w:val="0"/>
                <w:color w:val="000000"/>
                <w:kern w:val="0"/>
                <w:sz w:val="40"/>
                <w:szCs w:val="40"/>
                <w:u w:val="none"/>
                <w:bdr w:val="none" w:color="auto" w:sz="0" w:space="0"/>
                <w:lang w:val="en-US" w:eastAsia="zh-CN" w:bidi="ar"/>
              </w:rPr>
              <w:t>(2024年度）</w:t>
            </w:r>
          </w:p>
        </w:tc>
      </w:tr>
      <w:tr w14:paraId="0094A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710" w:type="dxa"/>
            <w:gridSpan w:val="2"/>
            <w:tcBorders>
              <w:top w:val="single" w:color="000000" w:sz="4" w:space="0"/>
              <w:left w:val="single" w:color="000000" w:sz="4" w:space="0"/>
              <w:bottom w:val="single" w:color="000000" w:sz="4" w:space="0"/>
              <w:right w:val="single" w:color="000000" w:sz="4" w:space="0"/>
            </w:tcBorders>
            <w:shd w:val="clear"/>
            <w:vAlign w:val="center"/>
          </w:tcPr>
          <w:p w14:paraId="6DB9400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项目名称</w:t>
            </w:r>
          </w:p>
        </w:tc>
        <w:tc>
          <w:tcPr>
            <w:tcW w:w="8550" w:type="dxa"/>
            <w:gridSpan w:val="10"/>
            <w:tcBorders>
              <w:top w:val="single" w:color="000000" w:sz="4" w:space="0"/>
              <w:left w:val="single" w:color="000000" w:sz="4" w:space="0"/>
              <w:bottom w:val="single" w:color="000000" w:sz="4" w:space="0"/>
              <w:right w:val="single" w:color="000000" w:sz="4" w:space="0"/>
            </w:tcBorders>
            <w:shd w:val="clear"/>
            <w:vAlign w:val="center"/>
          </w:tcPr>
          <w:p w14:paraId="738D122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社区党组织工作经费</w:t>
            </w:r>
          </w:p>
        </w:tc>
      </w:tr>
      <w:tr w14:paraId="71BDB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710" w:type="dxa"/>
            <w:gridSpan w:val="2"/>
            <w:tcBorders>
              <w:top w:val="single" w:color="000000" w:sz="4" w:space="0"/>
              <w:left w:val="single" w:color="000000" w:sz="4" w:space="0"/>
              <w:bottom w:val="single" w:color="000000" w:sz="4" w:space="0"/>
              <w:right w:val="single" w:color="000000" w:sz="4" w:space="0"/>
            </w:tcBorders>
            <w:shd w:val="clear"/>
            <w:vAlign w:val="center"/>
          </w:tcPr>
          <w:p w14:paraId="11ADD89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主管部门</w:t>
            </w:r>
          </w:p>
        </w:tc>
        <w:tc>
          <w:tcPr>
            <w:tcW w:w="3420" w:type="dxa"/>
            <w:gridSpan w:val="4"/>
            <w:tcBorders>
              <w:top w:val="single" w:color="000000" w:sz="4" w:space="0"/>
              <w:left w:val="single" w:color="000000" w:sz="4" w:space="0"/>
              <w:bottom w:val="single" w:color="000000" w:sz="4" w:space="0"/>
              <w:right w:val="single" w:color="000000" w:sz="4" w:space="0"/>
            </w:tcBorders>
            <w:shd w:val="clear"/>
            <w:vAlign w:val="center"/>
          </w:tcPr>
          <w:p w14:paraId="4E316D9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扎兰屯市河西办事处（部门）</w:t>
            </w:r>
          </w:p>
        </w:tc>
        <w:tc>
          <w:tcPr>
            <w:tcW w:w="1710" w:type="dxa"/>
            <w:gridSpan w:val="2"/>
            <w:tcBorders>
              <w:top w:val="single" w:color="000000" w:sz="4" w:space="0"/>
              <w:left w:val="single" w:color="000000" w:sz="4" w:space="0"/>
              <w:bottom w:val="single" w:color="000000" w:sz="4" w:space="0"/>
              <w:right w:val="single" w:color="000000" w:sz="4" w:space="0"/>
            </w:tcBorders>
            <w:shd w:val="clear"/>
            <w:vAlign w:val="center"/>
          </w:tcPr>
          <w:p w14:paraId="70CFBD4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实施单位</w:t>
            </w:r>
          </w:p>
        </w:tc>
        <w:tc>
          <w:tcPr>
            <w:tcW w:w="3420" w:type="dxa"/>
            <w:gridSpan w:val="4"/>
            <w:tcBorders>
              <w:top w:val="single" w:color="000000" w:sz="4" w:space="0"/>
              <w:left w:val="single" w:color="000000" w:sz="4" w:space="0"/>
              <w:bottom w:val="single" w:color="000000" w:sz="4" w:space="0"/>
              <w:right w:val="single" w:color="000000" w:sz="4" w:space="0"/>
            </w:tcBorders>
            <w:shd w:val="clear"/>
            <w:vAlign w:val="center"/>
          </w:tcPr>
          <w:p w14:paraId="7B2E270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扎兰屯市河西街道办事处</w:t>
            </w:r>
          </w:p>
        </w:tc>
      </w:tr>
      <w:tr w14:paraId="4BD8C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710"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239CD5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项目资金</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（万元）</w:t>
            </w: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1109F20F">
            <w:pP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0462C7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年初预算数</w:t>
            </w:r>
          </w:p>
        </w:tc>
        <w:tc>
          <w:tcPr>
            <w:tcW w:w="1710" w:type="dxa"/>
            <w:gridSpan w:val="2"/>
            <w:tcBorders>
              <w:top w:val="single" w:color="000000" w:sz="4" w:space="0"/>
              <w:left w:val="single" w:color="000000" w:sz="4" w:space="0"/>
              <w:bottom w:val="single" w:color="000000" w:sz="4" w:space="0"/>
              <w:right w:val="single" w:color="000000" w:sz="4" w:space="0"/>
            </w:tcBorders>
            <w:shd w:val="clear"/>
            <w:vAlign w:val="center"/>
          </w:tcPr>
          <w:p w14:paraId="2F1A52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全年预算数</w:t>
            </w:r>
          </w:p>
        </w:tc>
        <w:tc>
          <w:tcPr>
            <w:tcW w:w="1710" w:type="dxa"/>
            <w:gridSpan w:val="2"/>
            <w:tcBorders>
              <w:top w:val="single" w:color="000000" w:sz="4" w:space="0"/>
              <w:left w:val="single" w:color="000000" w:sz="4" w:space="0"/>
              <w:bottom w:val="single" w:color="000000" w:sz="4" w:space="0"/>
              <w:right w:val="single" w:color="000000" w:sz="4" w:space="0"/>
            </w:tcBorders>
            <w:shd w:val="clear"/>
            <w:vAlign w:val="center"/>
          </w:tcPr>
          <w:p w14:paraId="627A9A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全年执行数</w:t>
            </w: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2004B4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分值</w:t>
            </w:r>
          </w:p>
        </w:tc>
        <w:tc>
          <w:tcPr>
            <w:tcW w:w="1710" w:type="dxa"/>
            <w:gridSpan w:val="2"/>
            <w:tcBorders>
              <w:top w:val="single" w:color="000000" w:sz="4" w:space="0"/>
              <w:left w:val="single" w:color="000000" w:sz="4" w:space="0"/>
              <w:bottom w:val="single" w:color="000000" w:sz="4" w:space="0"/>
              <w:right w:val="single" w:color="000000" w:sz="4" w:space="0"/>
            </w:tcBorders>
            <w:shd w:val="clear"/>
            <w:vAlign w:val="center"/>
          </w:tcPr>
          <w:p w14:paraId="004631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执行率（%）</w:t>
            </w: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2CBBB1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得分</w:t>
            </w:r>
          </w:p>
        </w:tc>
      </w:tr>
      <w:tr w14:paraId="32CB1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710"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37C28366">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6F9F9B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年度资金总额</w:t>
            </w: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690B623A">
            <w:pPr>
              <w:keepNext w:val="0"/>
              <w:keepLines w:val="0"/>
              <w:widowControl/>
              <w:suppressLineNumbers w:val="0"/>
              <w:jc w:val="left"/>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bdr w:val="none" w:color="auto" w:sz="0" w:space="0"/>
                <w:lang w:val="en-US" w:eastAsia="zh-CN" w:bidi="ar"/>
              </w:rPr>
              <w:t>30</w:t>
            </w:r>
          </w:p>
        </w:tc>
        <w:tc>
          <w:tcPr>
            <w:tcW w:w="1710" w:type="dxa"/>
            <w:gridSpan w:val="2"/>
            <w:tcBorders>
              <w:top w:val="single" w:color="000000" w:sz="4" w:space="0"/>
              <w:left w:val="single" w:color="000000" w:sz="4" w:space="0"/>
              <w:bottom w:val="single" w:color="000000" w:sz="4" w:space="0"/>
              <w:right w:val="single" w:color="000000" w:sz="4" w:space="0"/>
            </w:tcBorders>
            <w:shd w:val="clear"/>
            <w:vAlign w:val="center"/>
          </w:tcPr>
          <w:p w14:paraId="4E7C5730">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bdr w:val="none" w:color="auto" w:sz="0" w:space="0"/>
                <w:lang w:val="en-US" w:eastAsia="zh-CN" w:bidi="ar"/>
              </w:rPr>
              <w:t>30</w:t>
            </w:r>
          </w:p>
        </w:tc>
        <w:tc>
          <w:tcPr>
            <w:tcW w:w="1710" w:type="dxa"/>
            <w:gridSpan w:val="2"/>
            <w:tcBorders>
              <w:top w:val="single" w:color="000000" w:sz="4" w:space="0"/>
              <w:left w:val="single" w:color="000000" w:sz="4" w:space="0"/>
              <w:bottom w:val="single" w:color="000000" w:sz="4" w:space="0"/>
              <w:right w:val="single" w:color="000000" w:sz="4" w:space="0"/>
            </w:tcBorders>
            <w:shd w:val="clear"/>
            <w:vAlign w:val="center"/>
          </w:tcPr>
          <w:p w14:paraId="541B708A">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bdr w:val="none" w:color="auto" w:sz="0" w:space="0"/>
                <w:lang w:val="en-US" w:eastAsia="zh-CN" w:bidi="ar"/>
              </w:rPr>
              <w:t>30</w:t>
            </w: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4FC320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710" w:type="dxa"/>
            <w:gridSpan w:val="2"/>
            <w:tcBorders>
              <w:top w:val="single" w:color="000000" w:sz="4" w:space="0"/>
              <w:left w:val="single" w:color="000000" w:sz="4" w:space="0"/>
              <w:bottom w:val="single" w:color="000000" w:sz="4" w:space="0"/>
              <w:right w:val="single" w:color="000000" w:sz="4" w:space="0"/>
            </w:tcBorders>
            <w:shd w:val="clear"/>
            <w:vAlign w:val="center"/>
          </w:tcPr>
          <w:p w14:paraId="3EF1AE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025727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r>
      <w:tr w14:paraId="28312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710"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67A8406E">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22A6055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其中：财政拨款</w:t>
            </w: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393C34A9">
            <w:pPr>
              <w:keepNext w:val="0"/>
              <w:keepLines w:val="0"/>
              <w:widowControl/>
              <w:suppressLineNumbers w:val="0"/>
              <w:jc w:val="left"/>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bdr w:val="none" w:color="auto" w:sz="0" w:space="0"/>
                <w:lang w:val="en-US" w:eastAsia="zh-CN" w:bidi="ar"/>
              </w:rPr>
              <w:t>30</w:t>
            </w:r>
          </w:p>
        </w:tc>
        <w:tc>
          <w:tcPr>
            <w:tcW w:w="1710" w:type="dxa"/>
            <w:gridSpan w:val="2"/>
            <w:tcBorders>
              <w:top w:val="single" w:color="000000" w:sz="4" w:space="0"/>
              <w:left w:val="single" w:color="000000" w:sz="4" w:space="0"/>
              <w:bottom w:val="single" w:color="000000" w:sz="4" w:space="0"/>
              <w:right w:val="single" w:color="000000" w:sz="4" w:space="0"/>
            </w:tcBorders>
            <w:shd w:val="clear"/>
            <w:vAlign w:val="center"/>
          </w:tcPr>
          <w:p w14:paraId="191BD5E9">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bdr w:val="none" w:color="auto" w:sz="0" w:space="0"/>
                <w:lang w:val="en-US" w:eastAsia="zh-CN" w:bidi="ar"/>
              </w:rPr>
              <w:t>30</w:t>
            </w:r>
          </w:p>
        </w:tc>
        <w:tc>
          <w:tcPr>
            <w:tcW w:w="1710" w:type="dxa"/>
            <w:gridSpan w:val="2"/>
            <w:tcBorders>
              <w:top w:val="single" w:color="000000" w:sz="4" w:space="0"/>
              <w:left w:val="single" w:color="000000" w:sz="4" w:space="0"/>
              <w:bottom w:val="single" w:color="000000" w:sz="4" w:space="0"/>
              <w:right w:val="single" w:color="000000" w:sz="4" w:space="0"/>
            </w:tcBorders>
            <w:shd w:val="clear"/>
            <w:vAlign w:val="center"/>
          </w:tcPr>
          <w:p w14:paraId="3A44FABA">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bdr w:val="none" w:color="auto" w:sz="0" w:space="0"/>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342FB98">
            <w:pPr>
              <w:keepNext w:val="0"/>
              <w:keepLines w:val="0"/>
              <w:widowControl/>
              <w:suppressLineNumbers w:val="0"/>
              <w:jc w:val="center"/>
              <w:textAlignment w:val="center"/>
              <w:rPr>
                <w:rFonts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bdr w:val="none" w:color="auto" w:sz="0" w:space="0"/>
                <w:lang w:val="en-US" w:eastAsia="zh-CN" w:bidi="ar"/>
              </w:rPr>
              <w:t>——</w:t>
            </w:r>
          </w:p>
        </w:tc>
        <w:tc>
          <w:tcPr>
            <w:tcW w:w="1710" w:type="dxa"/>
            <w:gridSpan w:val="2"/>
            <w:tcBorders>
              <w:top w:val="single" w:color="000000" w:sz="4" w:space="0"/>
              <w:left w:val="single" w:color="000000" w:sz="4" w:space="0"/>
              <w:bottom w:val="single" w:color="000000" w:sz="4" w:space="0"/>
              <w:right w:val="single" w:color="000000" w:sz="4" w:space="0"/>
            </w:tcBorders>
            <w:shd w:val="clear"/>
            <w:vAlign w:val="center"/>
          </w:tcPr>
          <w:p w14:paraId="26376C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4045B18">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bdr w:val="none" w:color="auto" w:sz="0" w:space="0"/>
                <w:lang w:val="en-US" w:eastAsia="zh-CN" w:bidi="ar"/>
              </w:rPr>
              <w:t>——</w:t>
            </w:r>
          </w:p>
        </w:tc>
      </w:tr>
      <w:tr w14:paraId="04E37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710"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0479B4B8">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76AC66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上年结转资金</w:t>
            </w: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406326AE">
            <w:pPr>
              <w:rPr>
                <w:rFonts w:hint="eastAsia" w:ascii="宋体" w:hAnsi="宋体" w:eastAsia="宋体" w:cs="宋体"/>
                <w:i w:val="0"/>
                <w:iCs w:val="0"/>
                <w:color w:val="000000"/>
                <w:sz w:val="18"/>
                <w:szCs w:val="18"/>
                <w:u w:val="none"/>
              </w:rPr>
            </w:pPr>
          </w:p>
        </w:tc>
        <w:tc>
          <w:tcPr>
            <w:tcW w:w="1710" w:type="dxa"/>
            <w:gridSpan w:val="2"/>
            <w:tcBorders>
              <w:top w:val="single" w:color="000000" w:sz="4" w:space="0"/>
              <w:left w:val="single" w:color="000000" w:sz="4" w:space="0"/>
              <w:bottom w:val="single" w:color="000000" w:sz="4" w:space="0"/>
              <w:right w:val="single" w:color="000000" w:sz="4" w:space="0"/>
            </w:tcBorders>
            <w:shd w:val="clear"/>
            <w:vAlign w:val="center"/>
          </w:tcPr>
          <w:p w14:paraId="5ED5F31E">
            <w:pPr>
              <w:jc w:val="center"/>
              <w:rPr>
                <w:rFonts w:hint="eastAsia" w:ascii="宋体" w:hAnsi="宋体" w:eastAsia="宋体" w:cs="宋体"/>
                <w:i w:val="0"/>
                <w:iCs w:val="0"/>
                <w:color w:val="000000"/>
                <w:sz w:val="18"/>
                <w:szCs w:val="18"/>
                <w:u w:val="none"/>
              </w:rPr>
            </w:pPr>
          </w:p>
        </w:tc>
        <w:tc>
          <w:tcPr>
            <w:tcW w:w="1710" w:type="dxa"/>
            <w:gridSpan w:val="2"/>
            <w:tcBorders>
              <w:top w:val="single" w:color="000000" w:sz="4" w:space="0"/>
              <w:left w:val="single" w:color="000000" w:sz="4" w:space="0"/>
              <w:bottom w:val="single" w:color="000000" w:sz="4" w:space="0"/>
              <w:right w:val="single" w:color="000000" w:sz="4" w:space="0"/>
            </w:tcBorders>
            <w:shd w:val="clear"/>
            <w:vAlign w:val="center"/>
          </w:tcPr>
          <w:p w14:paraId="298237C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299DD5B">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bdr w:val="none" w:color="auto" w:sz="0" w:space="0"/>
                <w:lang w:val="en-US" w:eastAsia="zh-CN" w:bidi="ar"/>
              </w:rPr>
              <w:t>——</w:t>
            </w:r>
          </w:p>
        </w:tc>
        <w:tc>
          <w:tcPr>
            <w:tcW w:w="1710" w:type="dxa"/>
            <w:gridSpan w:val="2"/>
            <w:tcBorders>
              <w:top w:val="single" w:color="000000" w:sz="4" w:space="0"/>
              <w:left w:val="single" w:color="000000" w:sz="4" w:space="0"/>
              <w:bottom w:val="single" w:color="000000" w:sz="4" w:space="0"/>
              <w:right w:val="single" w:color="000000" w:sz="4" w:space="0"/>
            </w:tcBorders>
            <w:shd w:val="clear"/>
            <w:vAlign w:val="center"/>
          </w:tcPr>
          <w:p w14:paraId="14004A6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1EE9519">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bdr w:val="none" w:color="auto" w:sz="0" w:space="0"/>
                <w:lang w:val="en-US" w:eastAsia="zh-CN" w:bidi="ar"/>
              </w:rPr>
              <w:t>——</w:t>
            </w:r>
          </w:p>
        </w:tc>
      </w:tr>
      <w:tr w14:paraId="7735F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710"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075C04C6">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6D655C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其他资金</w:t>
            </w: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0497FAF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1710" w:type="dxa"/>
            <w:gridSpan w:val="2"/>
            <w:tcBorders>
              <w:top w:val="single" w:color="000000" w:sz="4" w:space="0"/>
              <w:left w:val="single" w:color="000000" w:sz="4" w:space="0"/>
              <w:bottom w:val="single" w:color="000000" w:sz="4" w:space="0"/>
              <w:right w:val="single" w:color="000000" w:sz="4" w:space="0"/>
            </w:tcBorders>
            <w:shd w:val="clear"/>
            <w:vAlign w:val="center"/>
          </w:tcPr>
          <w:p w14:paraId="1470DD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1710" w:type="dxa"/>
            <w:gridSpan w:val="2"/>
            <w:tcBorders>
              <w:top w:val="single" w:color="000000" w:sz="4" w:space="0"/>
              <w:left w:val="single" w:color="000000" w:sz="4" w:space="0"/>
              <w:bottom w:val="single" w:color="000000" w:sz="4" w:space="0"/>
              <w:right w:val="single" w:color="000000" w:sz="4" w:space="0"/>
            </w:tcBorders>
            <w:shd w:val="clear"/>
            <w:vAlign w:val="center"/>
          </w:tcPr>
          <w:p w14:paraId="473C61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C42CF6F">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bdr w:val="none" w:color="auto" w:sz="0" w:space="0"/>
                <w:lang w:val="en-US" w:eastAsia="zh-CN" w:bidi="ar"/>
              </w:rPr>
              <w:t>——</w:t>
            </w:r>
          </w:p>
        </w:tc>
        <w:tc>
          <w:tcPr>
            <w:tcW w:w="1710" w:type="dxa"/>
            <w:gridSpan w:val="2"/>
            <w:tcBorders>
              <w:top w:val="single" w:color="000000" w:sz="4" w:space="0"/>
              <w:left w:val="single" w:color="000000" w:sz="4" w:space="0"/>
              <w:bottom w:val="single" w:color="000000" w:sz="4" w:space="0"/>
              <w:right w:val="single" w:color="000000" w:sz="4" w:space="0"/>
            </w:tcBorders>
            <w:shd w:val="clear"/>
            <w:vAlign w:val="center"/>
          </w:tcPr>
          <w:p w14:paraId="771C11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56CE735">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bdr w:val="none" w:color="auto" w:sz="0" w:space="0"/>
                <w:lang w:val="en-US" w:eastAsia="zh-CN" w:bidi="ar"/>
              </w:rPr>
              <w:t>——</w:t>
            </w:r>
          </w:p>
        </w:tc>
      </w:tr>
      <w:tr w14:paraId="273A8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710"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23F5FF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年度总体目标</w:t>
            </w:r>
          </w:p>
        </w:tc>
        <w:tc>
          <w:tcPr>
            <w:tcW w:w="4275" w:type="dxa"/>
            <w:gridSpan w:val="5"/>
            <w:tcBorders>
              <w:top w:val="single" w:color="000000" w:sz="4" w:space="0"/>
              <w:left w:val="single" w:color="000000" w:sz="4" w:space="0"/>
              <w:bottom w:val="single" w:color="000000" w:sz="4" w:space="0"/>
              <w:right w:val="single" w:color="000000" w:sz="4" w:space="0"/>
            </w:tcBorders>
            <w:shd w:val="clear"/>
            <w:vAlign w:val="center"/>
          </w:tcPr>
          <w:p w14:paraId="570A1B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预期目标</w:t>
            </w:r>
          </w:p>
        </w:tc>
        <w:tc>
          <w:tcPr>
            <w:tcW w:w="4275" w:type="dxa"/>
            <w:gridSpan w:val="5"/>
            <w:tcBorders>
              <w:top w:val="single" w:color="000000" w:sz="4" w:space="0"/>
              <w:left w:val="single" w:color="000000" w:sz="4" w:space="0"/>
              <w:bottom w:val="single" w:color="000000" w:sz="4" w:space="0"/>
              <w:right w:val="single" w:color="000000" w:sz="4" w:space="0"/>
            </w:tcBorders>
            <w:shd w:val="clear"/>
            <w:vAlign w:val="center"/>
          </w:tcPr>
          <w:p w14:paraId="6F8646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实际完成情况</w:t>
            </w:r>
          </w:p>
        </w:tc>
      </w:tr>
      <w:tr w14:paraId="2EE3A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710"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34005F9A">
            <w:pPr>
              <w:jc w:val="center"/>
              <w:rPr>
                <w:rFonts w:hint="eastAsia" w:ascii="宋体" w:hAnsi="宋体" w:eastAsia="宋体" w:cs="宋体"/>
                <w:i w:val="0"/>
                <w:iCs w:val="0"/>
                <w:color w:val="000000"/>
                <w:sz w:val="18"/>
                <w:szCs w:val="18"/>
                <w:u w:val="none"/>
              </w:rPr>
            </w:pPr>
          </w:p>
        </w:tc>
        <w:tc>
          <w:tcPr>
            <w:tcW w:w="4275" w:type="dxa"/>
            <w:gridSpan w:val="5"/>
            <w:tcBorders>
              <w:top w:val="single" w:color="000000" w:sz="4" w:space="0"/>
              <w:left w:val="single" w:color="000000" w:sz="4" w:space="0"/>
              <w:bottom w:val="single" w:color="000000" w:sz="4" w:space="0"/>
              <w:right w:val="single" w:color="000000" w:sz="4" w:space="0"/>
            </w:tcBorders>
            <w:shd w:val="clear"/>
            <w:vAlign w:val="center"/>
          </w:tcPr>
          <w:p w14:paraId="4F34F6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保障社区党组织开展日常工作，服务辖区居民</w:t>
            </w:r>
          </w:p>
        </w:tc>
        <w:tc>
          <w:tcPr>
            <w:tcW w:w="4275" w:type="dxa"/>
            <w:gridSpan w:val="5"/>
            <w:tcBorders>
              <w:top w:val="single" w:color="000000" w:sz="4" w:space="0"/>
              <w:left w:val="single" w:color="000000" w:sz="4" w:space="0"/>
              <w:bottom w:val="single" w:color="000000" w:sz="4" w:space="0"/>
              <w:right w:val="single" w:color="000000" w:sz="4" w:space="0"/>
            </w:tcBorders>
            <w:shd w:val="clear"/>
            <w:vAlign w:val="center"/>
          </w:tcPr>
          <w:p w14:paraId="51427A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 社区党组织全年工作有续开展，社区党组织全年运转良好。</w:t>
            </w:r>
          </w:p>
        </w:tc>
      </w:tr>
      <w:tr w14:paraId="75E90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55" w:type="dxa"/>
            <w:tcBorders>
              <w:top w:val="single" w:color="000000" w:sz="4" w:space="0"/>
              <w:left w:val="single" w:color="000000" w:sz="4" w:space="0"/>
              <w:bottom w:val="single" w:color="000000" w:sz="4" w:space="0"/>
              <w:right w:val="single" w:color="000000" w:sz="4" w:space="0"/>
            </w:tcBorders>
            <w:shd w:val="clear"/>
            <w:vAlign w:val="center"/>
          </w:tcPr>
          <w:p w14:paraId="32DDB2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绩效指标</w:t>
            </w: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0EC58B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一级指标</w:t>
            </w: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4CF1FE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二级指标</w:t>
            </w: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61AC8E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三级指标</w:t>
            </w: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2193BA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指标性质</w:t>
            </w: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38CB2A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指标方向</w:t>
            </w: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3DC843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年度指标值</w:t>
            </w: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43BDDA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实际完成值</w:t>
            </w: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1D6F78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计量单位</w:t>
            </w: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1A712F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分值</w:t>
            </w: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7020AD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得分</w:t>
            </w: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7C05DE1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偏差原因分析及改进措施</w:t>
            </w:r>
          </w:p>
        </w:tc>
      </w:tr>
      <w:tr w14:paraId="2FAA8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5" w:type="dxa"/>
            <w:vMerge w:val="restart"/>
            <w:tcBorders>
              <w:top w:val="single" w:color="000000" w:sz="4" w:space="0"/>
              <w:left w:val="single" w:color="000000" w:sz="4" w:space="0"/>
              <w:bottom w:val="nil"/>
              <w:right w:val="single" w:color="000000" w:sz="4" w:space="0"/>
            </w:tcBorders>
            <w:shd w:val="clear"/>
            <w:vAlign w:val="center"/>
          </w:tcPr>
          <w:p w14:paraId="1D8FF5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绩效指标</w:t>
            </w:r>
          </w:p>
        </w:tc>
        <w:tc>
          <w:tcPr>
            <w:tcW w:w="855" w:type="dxa"/>
            <w:vMerge w:val="restart"/>
            <w:tcBorders>
              <w:top w:val="single" w:color="000000" w:sz="4" w:space="0"/>
              <w:left w:val="single" w:color="000000" w:sz="4" w:space="0"/>
              <w:bottom w:val="nil"/>
              <w:right w:val="single" w:color="000000" w:sz="4" w:space="0"/>
            </w:tcBorders>
            <w:shd w:val="clear"/>
            <w:vAlign w:val="center"/>
          </w:tcPr>
          <w:p w14:paraId="650051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产出指标</w:t>
            </w:r>
          </w:p>
        </w:tc>
        <w:tc>
          <w:tcPr>
            <w:tcW w:w="855" w:type="dxa"/>
            <w:vMerge w:val="restart"/>
            <w:tcBorders>
              <w:top w:val="single" w:color="000000" w:sz="4" w:space="0"/>
              <w:left w:val="single" w:color="000000" w:sz="4" w:space="0"/>
              <w:bottom w:val="nil"/>
              <w:right w:val="single" w:color="000000" w:sz="4" w:space="0"/>
            </w:tcBorders>
            <w:shd w:val="clear"/>
            <w:vAlign w:val="center"/>
          </w:tcPr>
          <w:p w14:paraId="072B6E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数量指标</w:t>
            </w:r>
          </w:p>
        </w:tc>
        <w:tc>
          <w:tcPr>
            <w:tcW w:w="855" w:type="dxa"/>
            <w:tcBorders>
              <w:top w:val="single" w:color="000000" w:sz="4" w:space="0"/>
              <w:left w:val="single" w:color="000000" w:sz="4" w:space="0"/>
              <w:bottom w:val="nil"/>
              <w:right w:val="single" w:color="000000" w:sz="4" w:space="0"/>
            </w:tcBorders>
            <w:shd w:val="clear"/>
            <w:vAlign w:val="center"/>
          </w:tcPr>
          <w:p w14:paraId="784E89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年度预算调整次数</w:t>
            </w:r>
          </w:p>
        </w:tc>
        <w:tc>
          <w:tcPr>
            <w:tcW w:w="855" w:type="dxa"/>
            <w:tcBorders>
              <w:top w:val="single" w:color="000000" w:sz="4" w:space="0"/>
              <w:left w:val="single" w:color="000000" w:sz="4" w:space="0"/>
              <w:bottom w:val="nil"/>
              <w:right w:val="single" w:color="000000" w:sz="4" w:space="0"/>
            </w:tcBorders>
            <w:shd w:val="clear"/>
            <w:vAlign w:val="center"/>
          </w:tcPr>
          <w:p w14:paraId="77312C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反向</w:t>
            </w:r>
          </w:p>
        </w:tc>
        <w:tc>
          <w:tcPr>
            <w:tcW w:w="855" w:type="dxa"/>
            <w:tcBorders>
              <w:top w:val="single" w:color="000000" w:sz="4" w:space="0"/>
              <w:left w:val="single" w:color="000000" w:sz="4" w:space="0"/>
              <w:bottom w:val="nil"/>
              <w:right w:val="single" w:color="000000" w:sz="4" w:space="0"/>
            </w:tcBorders>
            <w:shd w:val="clear"/>
            <w:vAlign w:val="center"/>
          </w:tcPr>
          <w:p w14:paraId="0B1148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小于等于</w:t>
            </w:r>
          </w:p>
        </w:tc>
        <w:tc>
          <w:tcPr>
            <w:tcW w:w="855" w:type="dxa"/>
            <w:tcBorders>
              <w:top w:val="single" w:color="000000" w:sz="4" w:space="0"/>
              <w:left w:val="single" w:color="000000" w:sz="4" w:space="0"/>
              <w:bottom w:val="nil"/>
              <w:right w:val="single" w:color="000000" w:sz="4" w:space="0"/>
            </w:tcBorders>
            <w:shd w:val="clear"/>
            <w:vAlign w:val="center"/>
          </w:tcPr>
          <w:p w14:paraId="1BBB07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w:t>
            </w:r>
          </w:p>
        </w:tc>
        <w:tc>
          <w:tcPr>
            <w:tcW w:w="855" w:type="dxa"/>
            <w:tcBorders>
              <w:top w:val="single" w:color="000000" w:sz="4" w:space="0"/>
              <w:left w:val="single" w:color="000000" w:sz="4" w:space="0"/>
              <w:bottom w:val="nil"/>
              <w:right w:val="single" w:color="000000" w:sz="4" w:space="0"/>
            </w:tcBorders>
            <w:shd w:val="clear"/>
            <w:vAlign w:val="center"/>
          </w:tcPr>
          <w:p w14:paraId="2A77AE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0C0CEE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次</w:t>
            </w:r>
          </w:p>
        </w:tc>
        <w:tc>
          <w:tcPr>
            <w:tcW w:w="855" w:type="dxa"/>
            <w:tcBorders>
              <w:top w:val="single" w:color="000000" w:sz="4" w:space="0"/>
              <w:left w:val="single" w:color="000000" w:sz="4" w:space="0"/>
              <w:bottom w:val="nil"/>
              <w:right w:val="single" w:color="000000" w:sz="4" w:space="0"/>
            </w:tcBorders>
            <w:shd w:val="clear"/>
            <w:vAlign w:val="center"/>
          </w:tcPr>
          <w:p w14:paraId="5E52BA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855" w:type="dxa"/>
            <w:tcBorders>
              <w:top w:val="single" w:color="000000" w:sz="4" w:space="0"/>
              <w:left w:val="single" w:color="000000" w:sz="4" w:space="0"/>
              <w:bottom w:val="nil"/>
              <w:right w:val="single" w:color="000000" w:sz="4" w:space="0"/>
            </w:tcBorders>
            <w:shd w:val="clear"/>
            <w:vAlign w:val="center"/>
          </w:tcPr>
          <w:p w14:paraId="2FB99C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45688B36">
            <w:pPr>
              <w:jc w:val="center"/>
              <w:rPr>
                <w:rFonts w:hint="eastAsia" w:ascii="宋体" w:hAnsi="宋体" w:eastAsia="宋体" w:cs="宋体"/>
                <w:i w:val="0"/>
                <w:iCs w:val="0"/>
                <w:color w:val="000000"/>
                <w:sz w:val="18"/>
                <w:szCs w:val="18"/>
                <w:u w:val="none"/>
              </w:rPr>
            </w:pPr>
          </w:p>
        </w:tc>
      </w:tr>
      <w:tr w14:paraId="3D8A0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5" w:type="dxa"/>
            <w:vMerge w:val="continue"/>
            <w:tcBorders>
              <w:top w:val="single" w:color="000000" w:sz="4" w:space="0"/>
              <w:left w:val="single" w:color="000000" w:sz="4" w:space="0"/>
              <w:bottom w:val="nil"/>
              <w:right w:val="single" w:color="000000" w:sz="4" w:space="0"/>
            </w:tcBorders>
            <w:shd w:val="clear"/>
            <w:vAlign w:val="center"/>
          </w:tcPr>
          <w:p w14:paraId="635E49C5">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vAlign w:val="center"/>
          </w:tcPr>
          <w:p w14:paraId="6C8A41FC">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vAlign w:val="center"/>
          </w:tcPr>
          <w:p w14:paraId="2B79043E">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vAlign w:val="center"/>
          </w:tcPr>
          <w:p w14:paraId="6FB524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服务居民数量</w:t>
            </w:r>
          </w:p>
        </w:tc>
        <w:tc>
          <w:tcPr>
            <w:tcW w:w="855" w:type="dxa"/>
            <w:tcBorders>
              <w:top w:val="single" w:color="000000" w:sz="4" w:space="0"/>
              <w:left w:val="single" w:color="000000" w:sz="4" w:space="0"/>
              <w:bottom w:val="nil"/>
              <w:right w:val="single" w:color="000000" w:sz="4" w:space="0"/>
            </w:tcBorders>
            <w:shd w:val="clear"/>
            <w:vAlign w:val="center"/>
          </w:tcPr>
          <w:p w14:paraId="732F61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正向</w:t>
            </w:r>
          </w:p>
        </w:tc>
        <w:tc>
          <w:tcPr>
            <w:tcW w:w="855" w:type="dxa"/>
            <w:tcBorders>
              <w:top w:val="single" w:color="000000" w:sz="4" w:space="0"/>
              <w:left w:val="single" w:color="000000" w:sz="4" w:space="0"/>
              <w:bottom w:val="nil"/>
              <w:right w:val="single" w:color="000000" w:sz="4" w:space="0"/>
            </w:tcBorders>
            <w:shd w:val="clear"/>
            <w:vAlign w:val="center"/>
          </w:tcPr>
          <w:p w14:paraId="12A84E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大于等于</w:t>
            </w:r>
          </w:p>
        </w:tc>
        <w:tc>
          <w:tcPr>
            <w:tcW w:w="855" w:type="dxa"/>
            <w:tcBorders>
              <w:top w:val="single" w:color="000000" w:sz="4" w:space="0"/>
              <w:left w:val="single" w:color="000000" w:sz="4" w:space="0"/>
              <w:bottom w:val="nil"/>
              <w:right w:val="single" w:color="000000" w:sz="4" w:space="0"/>
            </w:tcBorders>
            <w:shd w:val="clear"/>
            <w:vAlign w:val="center"/>
          </w:tcPr>
          <w:p w14:paraId="3F8277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3000</w:t>
            </w:r>
          </w:p>
        </w:tc>
        <w:tc>
          <w:tcPr>
            <w:tcW w:w="855" w:type="dxa"/>
            <w:tcBorders>
              <w:top w:val="single" w:color="000000" w:sz="4" w:space="0"/>
              <w:left w:val="single" w:color="000000" w:sz="4" w:space="0"/>
              <w:bottom w:val="nil"/>
              <w:right w:val="single" w:color="000000" w:sz="4" w:space="0"/>
            </w:tcBorders>
            <w:shd w:val="clear"/>
            <w:vAlign w:val="center"/>
          </w:tcPr>
          <w:p w14:paraId="7666A2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3C8E40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人</w:t>
            </w:r>
          </w:p>
        </w:tc>
        <w:tc>
          <w:tcPr>
            <w:tcW w:w="855" w:type="dxa"/>
            <w:tcBorders>
              <w:top w:val="single" w:color="000000" w:sz="4" w:space="0"/>
              <w:left w:val="single" w:color="000000" w:sz="4" w:space="0"/>
              <w:bottom w:val="nil"/>
              <w:right w:val="single" w:color="000000" w:sz="4" w:space="0"/>
            </w:tcBorders>
            <w:shd w:val="clear"/>
            <w:vAlign w:val="center"/>
          </w:tcPr>
          <w:p w14:paraId="4A3B2C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855" w:type="dxa"/>
            <w:tcBorders>
              <w:top w:val="single" w:color="000000" w:sz="4" w:space="0"/>
              <w:left w:val="single" w:color="000000" w:sz="4" w:space="0"/>
              <w:bottom w:val="nil"/>
              <w:right w:val="single" w:color="000000" w:sz="4" w:space="0"/>
            </w:tcBorders>
            <w:shd w:val="clear"/>
            <w:vAlign w:val="center"/>
          </w:tcPr>
          <w:p w14:paraId="3B2475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01043645">
            <w:pPr>
              <w:jc w:val="center"/>
              <w:rPr>
                <w:rFonts w:hint="eastAsia" w:ascii="宋体" w:hAnsi="宋体" w:eastAsia="宋体" w:cs="宋体"/>
                <w:i w:val="0"/>
                <w:iCs w:val="0"/>
                <w:color w:val="000000"/>
                <w:sz w:val="18"/>
                <w:szCs w:val="18"/>
                <w:u w:val="none"/>
              </w:rPr>
            </w:pPr>
          </w:p>
        </w:tc>
      </w:tr>
      <w:tr w14:paraId="65FA6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5" w:type="dxa"/>
            <w:vMerge w:val="continue"/>
            <w:tcBorders>
              <w:top w:val="single" w:color="000000" w:sz="4" w:space="0"/>
              <w:left w:val="single" w:color="000000" w:sz="4" w:space="0"/>
              <w:bottom w:val="nil"/>
              <w:right w:val="single" w:color="000000" w:sz="4" w:space="0"/>
            </w:tcBorders>
            <w:shd w:val="clear"/>
            <w:vAlign w:val="center"/>
          </w:tcPr>
          <w:p w14:paraId="0BBF5F19">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vAlign w:val="center"/>
          </w:tcPr>
          <w:p w14:paraId="1304BF24">
            <w:pPr>
              <w:jc w:val="center"/>
              <w:rPr>
                <w:rFonts w:hint="eastAsia" w:ascii="宋体" w:hAnsi="宋体" w:eastAsia="宋体" w:cs="宋体"/>
                <w:i w:val="0"/>
                <w:iCs w:val="0"/>
                <w:color w:val="000000"/>
                <w:sz w:val="18"/>
                <w:szCs w:val="18"/>
                <w:u w:val="none"/>
              </w:rPr>
            </w:pPr>
          </w:p>
        </w:tc>
        <w:tc>
          <w:tcPr>
            <w:tcW w:w="855" w:type="dxa"/>
            <w:vMerge w:val="restart"/>
            <w:tcBorders>
              <w:top w:val="single" w:color="000000" w:sz="4" w:space="0"/>
              <w:left w:val="single" w:color="000000" w:sz="4" w:space="0"/>
              <w:bottom w:val="nil"/>
              <w:right w:val="single" w:color="000000" w:sz="4" w:space="0"/>
            </w:tcBorders>
            <w:shd w:val="clear"/>
            <w:vAlign w:val="center"/>
          </w:tcPr>
          <w:p w14:paraId="4E8BFA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质量指标</w:t>
            </w:r>
          </w:p>
        </w:tc>
        <w:tc>
          <w:tcPr>
            <w:tcW w:w="855" w:type="dxa"/>
            <w:tcBorders>
              <w:top w:val="single" w:color="000000" w:sz="4" w:space="0"/>
              <w:left w:val="single" w:color="000000" w:sz="4" w:space="0"/>
              <w:bottom w:val="nil"/>
              <w:right w:val="single" w:color="000000" w:sz="4" w:space="0"/>
            </w:tcBorders>
            <w:shd w:val="clear"/>
            <w:vAlign w:val="center"/>
          </w:tcPr>
          <w:p w14:paraId="104E00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居民满意度</w:t>
            </w:r>
          </w:p>
        </w:tc>
        <w:tc>
          <w:tcPr>
            <w:tcW w:w="855" w:type="dxa"/>
            <w:tcBorders>
              <w:top w:val="single" w:color="000000" w:sz="4" w:space="0"/>
              <w:left w:val="single" w:color="000000" w:sz="4" w:space="0"/>
              <w:bottom w:val="nil"/>
              <w:right w:val="single" w:color="000000" w:sz="4" w:space="0"/>
            </w:tcBorders>
            <w:shd w:val="clear"/>
            <w:vAlign w:val="center"/>
          </w:tcPr>
          <w:p w14:paraId="356312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正向</w:t>
            </w:r>
          </w:p>
        </w:tc>
        <w:tc>
          <w:tcPr>
            <w:tcW w:w="855" w:type="dxa"/>
            <w:tcBorders>
              <w:top w:val="single" w:color="000000" w:sz="4" w:space="0"/>
              <w:left w:val="single" w:color="000000" w:sz="4" w:space="0"/>
              <w:bottom w:val="nil"/>
              <w:right w:val="single" w:color="000000" w:sz="4" w:space="0"/>
            </w:tcBorders>
            <w:shd w:val="clear"/>
            <w:vAlign w:val="center"/>
          </w:tcPr>
          <w:p w14:paraId="272DB5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大于等于</w:t>
            </w:r>
          </w:p>
        </w:tc>
        <w:tc>
          <w:tcPr>
            <w:tcW w:w="855" w:type="dxa"/>
            <w:tcBorders>
              <w:top w:val="single" w:color="000000" w:sz="4" w:space="0"/>
              <w:left w:val="single" w:color="000000" w:sz="4" w:space="0"/>
              <w:bottom w:val="nil"/>
              <w:right w:val="single" w:color="000000" w:sz="4" w:space="0"/>
            </w:tcBorders>
            <w:shd w:val="clear"/>
            <w:vAlign w:val="center"/>
          </w:tcPr>
          <w:p w14:paraId="7EC59D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90</w:t>
            </w:r>
          </w:p>
        </w:tc>
        <w:tc>
          <w:tcPr>
            <w:tcW w:w="855" w:type="dxa"/>
            <w:tcBorders>
              <w:top w:val="single" w:color="000000" w:sz="4" w:space="0"/>
              <w:left w:val="single" w:color="000000" w:sz="4" w:space="0"/>
              <w:bottom w:val="nil"/>
              <w:right w:val="single" w:color="000000" w:sz="4" w:space="0"/>
            </w:tcBorders>
            <w:shd w:val="clear"/>
            <w:vAlign w:val="center"/>
          </w:tcPr>
          <w:p w14:paraId="7BB2C9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1F16D6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百分比</w:t>
            </w:r>
          </w:p>
        </w:tc>
        <w:tc>
          <w:tcPr>
            <w:tcW w:w="855" w:type="dxa"/>
            <w:tcBorders>
              <w:top w:val="single" w:color="000000" w:sz="4" w:space="0"/>
              <w:left w:val="single" w:color="000000" w:sz="4" w:space="0"/>
              <w:bottom w:val="nil"/>
              <w:right w:val="single" w:color="000000" w:sz="4" w:space="0"/>
            </w:tcBorders>
            <w:shd w:val="clear"/>
            <w:vAlign w:val="center"/>
          </w:tcPr>
          <w:p w14:paraId="3E12BD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855" w:type="dxa"/>
            <w:tcBorders>
              <w:top w:val="single" w:color="000000" w:sz="4" w:space="0"/>
              <w:left w:val="single" w:color="000000" w:sz="4" w:space="0"/>
              <w:bottom w:val="nil"/>
              <w:right w:val="single" w:color="000000" w:sz="4" w:space="0"/>
            </w:tcBorders>
            <w:shd w:val="clear"/>
            <w:vAlign w:val="center"/>
          </w:tcPr>
          <w:p w14:paraId="0A01F3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05B581CF">
            <w:pPr>
              <w:jc w:val="center"/>
              <w:rPr>
                <w:rFonts w:hint="eastAsia" w:ascii="宋体" w:hAnsi="宋体" w:eastAsia="宋体" w:cs="宋体"/>
                <w:i w:val="0"/>
                <w:iCs w:val="0"/>
                <w:color w:val="000000"/>
                <w:sz w:val="18"/>
                <w:szCs w:val="18"/>
                <w:u w:val="none"/>
              </w:rPr>
            </w:pPr>
          </w:p>
        </w:tc>
      </w:tr>
      <w:tr w14:paraId="0E6C6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5" w:type="dxa"/>
            <w:vMerge w:val="continue"/>
            <w:tcBorders>
              <w:top w:val="single" w:color="000000" w:sz="4" w:space="0"/>
              <w:left w:val="single" w:color="000000" w:sz="4" w:space="0"/>
              <w:bottom w:val="nil"/>
              <w:right w:val="single" w:color="000000" w:sz="4" w:space="0"/>
            </w:tcBorders>
            <w:shd w:val="clear"/>
            <w:vAlign w:val="center"/>
          </w:tcPr>
          <w:p w14:paraId="11F8CD27">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vAlign w:val="center"/>
          </w:tcPr>
          <w:p w14:paraId="749D85DC">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vAlign w:val="center"/>
          </w:tcPr>
          <w:p w14:paraId="58E82CEC">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vAlign w:val="center"/>
          </w:tcPr>
          <w:p w14:paraId="094EC5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社区党组织工作开展情况</w:t>
            </w:r>
          </w:p>
        </w:tc>
        <w:tc>
          <w:tcPr>
            <w:tcW w:w="855" w:type="dxa"/>
            <w:tcBorders>
              <w:top w:val="single" w:color="000000" w:sz="4" w:space="0"/>
              <w:left w:val="single" w:color="000000" w:sz="4" w:space="0"/>
              <w:bottom w:val="nil"/>
              <w:right w:val="single" w:color="000000" w:sz="4" w:space="0"/>
            </w:tcBorders>
            <w:shd w:val="clear"/>
            <w:vAlign w:val="center"/>
          </w:tcPr>
          <w:p w14:paraId="5AA542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定性</w:t>
            </w:r>
          </w:p>
        </w:tc>
        <w:tc>
          <w:tcPr>
            <w:tcW w:w="855" w:type="dxa"/>
            <w:tcBorders>
              <w:top w:val="single" w:color="000000" w:sz="4" w:space="0"/>
              <w:left w:val="single" w:color="000000" w:sz="4" w:space="0"/>
              <w:bottom w:val="nil"/>
              <w:right w:val="single" w:color="000000" w:sz="4" w:space="0"/>
            </w:tcBorders>
            <w:shd w:val="clear"/>
            <w:vAlign w:val="center"/>
          </w:tcPr>
          <w:p w14:paraId="2FF0C523">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vAlign w:val="center"/>
          </w:tcPr>
          <w:p w14:paraId="508683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好</w:t>
            </w:r>
          </w:p>
        </w:tc>
        <w:tc>
          <w:tcPr>
            <w:tcW w:w="855" w:type="dxa"/>
            <w:tcBorders>
              <w:top w:val="single" w:color="000000" w:sz="4" w:space="0"/>
              <w:left w:val="single" w:color="000000" w:sz="4" w:space="0"/>
              <w:bottom w:val="nil"/>
              <w:right w:val="single" w:color="000000" w:sz="4" w:space="0"/>
            </w:tcBorders>
            <w:shd w:val="clear"/>
            <w:vAlign w:val="center"/>
          </w:tcPr>
          <w:p w14:paraId="3859FD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1B5A77EA">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vAlign w:val="center"/>
          </w:tcPr>
          <w:p w14:paraId="753BAE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855" w:type="dxa"/>
            <w:tcBorders>
              <w:top w:val="single" w:color="000000" w:sz="4" w:space="0"/>
              <w:left w:val="single" w:color="000000" w:sz="4" w:space="0"/>
              <w:bottom w:val="nil"/>
              <w:right w:val="single" w:color="000000" w:sz="4" w:space="0"/>
            </w:tcBorders>
            <w:shd w:val="clear"/>
            <w:vAlign w:val="center"/>
          </w:tcPr>
          <w:p w14:paraId="34CF54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770162BC">
            <w:pPr>
              <w:jc w:val="center"/>
              <w:rPr>
                <w:rFonts w:hint="eastAsia" w:ascii="宋体" w:hAnsi="宋体" w:eastAsia="宋体" w:cs="宋体"/>
                <w:i w:val="0"/>
                <w:iCs w:val="0"/>
                <w:color w:val="000000"/>
                <w:sz w:val="18"/>
                <w:szCs w:val="18"/>
                <w:u w:val="none"/>
              </w:rPr>
            </w:pPr>
          </w:p>
        </w:tc>
      </w:tr>
      <w:tr w14:paraId="11211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5" w:type="dxa"/>
            <w:vMerge w:val="continue"/>
            <w:tcBorders>
              <w:top w:val="single" w:color="000000" w:sz="4" w:space="0"/>
              <w:left w:val="single" w:color="000000" w:sz="4" w:space="0"/>
              <w:bottom w:val="nil"/>
              <w:right w:val="single" w:color="000000" w:sz="4" w:space="0"/>
            </w:tcBorders>
            <w:shd w:val="clear"/>
            <w:vAlign w:val="center"/>
          </w:tcPr>
          <w:p w14:paraId="4C75D119">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vAlign w:val="center"/>
          </w:tcPr>
          <w:p w14:paraId="0158683A">
            <w:pPr>
              <w:jc w:val="center"/>
              <w:rPr>
                <w:rFonts w:hint="eastAsia" w:ascii="宋体" w:hAnsi="宋体" w:eastAsia="宋体" w:cs="宋体"/>
                <w:i w:val="0"/>
                <w:iCs w:val="0"/>
                <w:color w:val="000000"/>
                <w:sz w:val="18"/>
                <w:szCs w:val="18"/>
                <w:u w:val="none"/>
              </w:rPr>
            </w:pPr>
          </w:p>
        </w:tc>
        <w:tc>
          <w:tcPr>
            <w:tcW w:w="855" w:type="dxa"/>
            <w:vMerge w:val="restart"/>
            <w:tcBorders>
              <w:top w:val="single" w:color="000000" w:sz="4" w:space="0"/>
              <w:left w:val="single" w:color="000000" w:sz="4" w:space="0"/>
              <w:bottom w:val="nil"/>
              <w:right w:val="single" w:color="000000" w:sz="4" w:space="0"/>
            </w:tcBorders>
            <w:shd w:val="clear"/>
            <w:vAlign w:val="center"/>
          </w:tcPr>
          <w:p w14:paraId="4B7800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时效指标</w:t>
            </w:r>
          </w:p>
        </w:tc>
        <w:tc>
          <w:tcPr>
            <w:tcW w:w="855" w:type="dxa"/>
            <w:tcBorders>
              <w:top w:val="single" w:color="000000" w:sz="4" w:space="0"/>
              <w:left w:val="single" w:color="000000" w:sz="4" w:space="0"/>
              <w:bottom w:val="nil"/>
              <w:right w:val="single" w:color="000000" w:sz="4" w:space="0"/>
            </w:tcBorders>
            <w:shd w:val="clear"/>
            <w:vAlign w:val="center"/>
          </w:tcPr>
          <w:p w14:paraId="55B98D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是否及时为群众服务</w:t>
            </w:r>
          </w:p>
        </w:tc>
        <w:tc>
          <w:tcPr>
            <w:tcW w:w="855" w:type="dxa"/>
            <w:tcBorders>
              <w:top w:val="single" w:color="000000" w:sz="4" w:space="0"/>
              <w:left w:val="single" w:color="000000" w:sz="4" w:space="0"/>
              <w:bottom w:val="nil"/>
              <w:right w:val="single" w:color="000000" w:sz="4" w:space="0"/>
            </w:tcBorders>
            <w:shd w:val="clear"/>
            <w:vAlign w:val="center"/>
          </w:tcPr>
          <w:p w14:paraId="531B97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定性</w:t>
            </w:r>
          </w:p>
        </w:tc>
        <w:tc>
          <w:tcPr>
            <w:tcW w:w="855" w:type="dxa"/>
            <w:tcBorders>
              <w:top w:val="single" w:color="000000" w:sz="4" w:space="0"/>
              <w:left w:val="single" w:color="000000" w:sz="4" w:space="0"/>
              <w:bottom w:val="nil"/>
              <w:right w:val="single" w:color="000000" w:sz="4" w:space="0"/>
            </w:tcBorders>
            <w:shd w:val="clear"/>
            <w:vAlign w:val="center"/>
          </w:tcPr>
          <w:p w14:paraId="62C8A43C">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vAlign w:val="center"/>
          </w:tcPr>
          <w:p w14:paraId="650DE1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是</w:t>
            </w:r>
          </w:p>
        </w:tc>
        <w:tc>
          <w:tcPr>
            <w:tcW w:w="855" w:type="dxa"/>
            <w:tcBorders>
              <w:top w:val="single" w:color="000000" w:sz="4" w:space="0"/>
              <w:left w:val="single" w:color="000000" w:sz="4" w:space="0"/>
              <w:bottom w:val="nil"/>
              <w:right w:val="single" w:color="000000" w:sz="4" w:space="0"/>
            </w:tcBorders>
            <w:shd w:val="clear"/>
            <w:vAlign w:val="center"/>
          </w:tcPr>
          <w:p w14:paraId="60350D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687F275C">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vAlign w:val="center"/>
          </w:tcPr>
          <w:p w14:paraId="4925CC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855" w:type="dxa"/>
            <w:tcBorders>
              <w:top w:val="single" w:color="000000" w:sz="4" w:space="0"/>
              <w:left w:val="single" w:color="000000" w:sz="4" w:space="0"/>
              <w:bottom w:val="nil"/>
              <w:right w:val="single" w:color="000000" w:sz="4" w:space="0"/>
            </w:tcBorders>
            <w:shd w:val="clear"/>
            <w:vAlign w:val="center"/>
          </w:tcPr>
          <w:p w14:paraId="00D3F1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09576AEC">
            <w:pPr>
              <w:jc w:val="center"/>
              <w:rPr>
                <w:rFonts w:hint="eastAsia" w:ascii="宋体" w:hAnsi="宋体" w:eastAsia="宋体" w:cs="宋体"/>
                <w:i w:val="0"/>
                <w:iCs w:val="0"/>
                <w:color w:val="000000"/>
                <w:sz w:val="18"/>
                <w:szCs w:val="18"/>
                <w:u w:val="none"/>
              </w:rPr>
            </w:pPr>
          </w:p>
        </w:tc>
      </w:tr>
      <w:tr w14:paraId="3E8D0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5" w:type="dxa"/>
            <w:vMerge w:val="continue"/>
            <w:tcBorders>
              <w:top w:val="single" w:color="000000" w:sz="4" w:space="0"/>
              <w:left w:val="single" w:color="000000" w:sz="4" w:space="0"/>
              <w:bottom w:val="nil"/>
              <w:right w:val="single" w:color="000000" w:sz="4" w:space="0"/>
            </w:tcBorders>
            <w:shd w:val="clear"/>
            <w:vAlign w:val="center"/>
          </w:tcPr>
          <w:p w14:paraId="3658853F">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vAlign w:val="center"/>
          </w:tcPr>
          <w:p w14:paraId="7653458C">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vAlign w:val="center"/>
          </w:tcPr>
          <w:p w14:paraId="6779D137">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vAlign w:val="center"/>
          </w:tcPr>
          <w:p w14:paraId="10AB5E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资金请款是否及时</w:t>
            </w:r>
          </w:p>
        </w:tc>
        <w:tc>
          <w:tcPr>
            <w:tcW w:w="855" w:type="dxa"/>
            <w:tcBorders>
              <w:top w:val="single" w:color="000000" w:sz="4" w:space="0"/>
              <w:left w:val="single" w:color="000000" w:sz="4" w:space="0"/>
              <w:bottom w:val="nil"/>
              <w:right w:val="single" w:color="000000" w:sz="4" w:space="0"/>
            </w:tcBorders>
            <w:shd w:val="clear"/>
            <w:vAlign w:val="center"/>
          </w:tcPr>
          <w:p w14:paraId="679FB3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定性</w:t>
            </w:r>
          </w:p>
        </w:tc>
        <w:tc>
          <w:tcPr>
            <w:tcW w:w="855" w:type="dxa"/>
            <w:tcBorders>
              <w:top w:val="single" w:color="000000" w:sz="4" w:space="0"/>
              <w:left w:val="single" w:color="000000" w:sz="4" w:space="0"/>
              <w:bottom w:val="nil"/>
              <w:right w:val="single" w:color="000000" w:sz="4" w:space="0"/>
            </w:tcBorders>
            <w:shd w:val="clear"/>
            <w:vAlign w:val="center"/>
          </w:tcPr>
          <w:p w14:paraId="60C82DD7">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vAlign w:val="center"/>
          </w:tcPr>
          <w:p w14:paraId="327E83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是</w:t>
            </w:r>
          </w:p>
        </w:tc>
        <w:tc>
          <w:tcPr>
            <w:tcW w:w="855" w:type="dxa"/>
            <w:tcBorders>
              <w:top w:val="single" w:color="000000" w:sz="4" w:space="0"/>
              <w:left w:val="single" w:color="000000" w:sz="4" w:space="0"/>
              <w:bottom w:val="nil"/>
              <w:right w:val="single" w:color="000000" w:sz="4" w:space="0"/>
            </w:tcBorders>
            <w:shd w:val="clear"/>
            <w:vAlign w:val="center"/>
          </w:tcPr>
          <w:p w14:paraId="5012B7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06BB227F">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vAlign w:val="center"/>
          </w:tcPr>
          <w:p w14:paraId="4ACF73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855" w:type="dxa"/>
            <w:tcBorders>
              <w:top w:val="single" w:color="000000" w:sz="4" w:space="0"/>
              <w:left w:val="single" w:color="000000" w:sz="4" w:space="0"/>
              <w:bottom w:val="nil"/>
              <w:right w:val="single" w:color="000000" w:sz="4" w:space="0"/>
            </w:tcBorders>
            <w:shd w:val="clear"/>
            <w:vAlign w:val="center"/>
          </w:tcPr>
          <w:p w14:paraId="05A3EA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4E1E4CC8">
            <w:pPr>
              <w:jc w:val="center"/>
              <w:rPr>
                <w:rFonts w:hint="eastAsia" w:ascii="宋体" w:hAnsi="宋体" w:eastAsia="宋体" w:cs="宋体"/>
                <w:i w:val="0"/>
                <w:iCs w:val="0"/>
                <w:color w:val="000000"/>
                <w:sz w:val="18"/>
                <w:szCs w:val="18"/>
                <w:u w:val="none"/>
              </w:rPr>
            </w:pPr>
          </w:p>
        </w:tc>
      </w:tr>
      <w:tr w14:paraId="1C4F9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5" w:type="dxa"/>
            <w:vMerge w:val="continue"/>
            <w:tcBorders>
              <w:top w:val="single" w:color="000000" w:sz="4" w:space="0"/>
              <w:left w:val="single" w:color="000000" w:sz="4" w:space="0"/>
              <w:bottom w:val="nil"/>
              <w:right w:val="single" w:color="000000" w:sz="4" w:space="0"/>
            </w:tcBorders>
            <w:shd w:val="clear"/>
            <w:vAlign w:val="center"/>
          </w:tcPr>
          <w:p w14:paraId="778A27E5">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vAlign w:val="center"/>
          </w:tcPr>
          <w:p w14:paraId="4C50F21C">
            <w:pPr>
              <w:jc w:val="center"/>
              <w:rPr>
                <w:rFonts w:hint="eastAsia" w:ascii="宋体" w:hAnsi="宋体" w:eastAsia="宋体" w:cs="宋体"/>
                <w:i w:val="0"/>
                <w:iCs w:val="0"/>
                <w:color w:val="000000"/>
                <w:sz w:val="18"/>
                <w:szCs w:val="18"/>
                <w:u w:val="none"/>
              </w:rPr>
            </w:pPr>
          </w:p>
        </w:tc>
        <w:tc>
          <w:tcPr>
            <w:tcW w:w="855" w:type="dxa"/>
            <w:vMerge w:val="restart"/>
            <w:tcBorders>
              <w:top w:val="single" w:color="000000" w:sz="4" w:space="0"/>
              <w:left w:val="single" w:color="000000" w:sz="4" w:space="0"/>
              <w:bottom w:val="nil"/>
              <w:right w:val="single" w:color="000000" w:sz="4" w:space="0"/>
            </w:tcBorders>
            <w:shd w:val="clear"/>
            <w:vAlign w:val="center"/>
          </w:tcPr>
          <w:p w14:paraId="731E80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成本指标</w:t>
            </w:r>
          </w:p>
        </w:tc>
        <w:tc>
          <w:tcPr>
            <w:tcW w:w="855" w:type="dxa"/>
            <w:tcBorders>
              <w:top w:val="single" w:color="000000" w:sz="4" w:space="0"/>
              <w:left w:val="single" w:color="000000" w:sz="4" w:space="0"/>
              <w:bottom w:val="nil"/>
              <w:right w:val="single" w:color="000000" w:sz="4" w:space="0"/>
            </w:tcBorders>
            <w:shd w:val="clear"/>
            <w:vAlign w:val="center"/>
          </w:tcPr>
          <w:p w14:paraId="78CFD0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党组织开展工作资金支出数量</w:t>
            </w:r>
          </w:p>
        </w:tc>
        <w:tc>
          <w:tcPr>
            <w:tcW w:w="855" w:type="dxa"/>
            <w:tcBorders>
              <w:top w:val="single" w:color="000000" w:sz="4" w:space="0"/>
              <w:left w:val="single" w:color="000000" w:sz="4" w:space="0"/>
              <w:bottom w:val="nil"/>
              <w:right w:val="single" w:color="000000" w:sz="4" w:space="0"/>
            </w:tcBorders>
            <w:shd w:val="clear"/>
            <w:vAlign w:val="center"/>
          </w:tcPr>
          <w:p w14:paraId="1EE012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反向</w:t>
            </w:r>
          </w:p>
        </w:tc>
        <w:tc>
          <w:tcPr>
            <w:tcW w:w="855" w:type="dxa"/>
            <w:tcBorders>
              <w:top w:val="single" w:color="000000" w:sz="4" w:space="0"/>
              <w:left w:val="single" w:color="000000" w:sz="4" w:space="0"/>
              <w:bottom w:val="nil"/>
              <w:right w:val="single" w:color="000000" w:sz="4" w:space="0"/>
            </w:tcBorders>
            <w:shd w:val="clear"/>
            <w:vAlign w:val="center"/>
          </w:tcPr>
          <w:p w14:paraId="55DC4E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小于等于</w:t>
            </w:r>
          </w:p>
        </w:tc>
        <w:tc>
          <w:tcPr>
            <w:tcW w:w="855" w:type="dxa"/>
            <w:tcBorders>
              <w:top w:val="single" w:color="000000" w:sz="4" w:space="0"/>
              <w:left w:val="single" w:color="000000" w:sz="4" w:space="0"/>
              <w:bottom w:val="nil"/>
              <w:right w:val="single" w:color="000000" w:sz="4" w:space="0"/>
            </w:tcBorders>
            <w:shd w:val="clear"/>
            <w:vAlign w:val="center"/>
          </w:tcPr>
          <w:p w14:paraId="69E48CDD">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bdr w:val="none" w:color="auto" w:sz="0" w:space="0"/>
                <w:lang w:val="en-US" w:eastAsia="zh-CN" w:bidi="ar"/>
              </w:rPr>
              <w:t>30</w:t>
            </w:r>
          </w:p>
        </w:tc>
        <w:tc>
          <w:tcPr>
            <w:tcW w:w="855" w:type="dxa"/>
            <w:tcBorders>
              <w:top w:val="single" w:color="000000" w:sz="4" w:space="0"/>
              <w:left w:val="single" w:color="000000" w:sz="4" w:space="0"/>
              <w:bottom w:val="nil"/>
              <w:right w:val="single" w:color="000000" w:sz="4" w:space="0"/>
            </w:tcBorders>
            <w:shd w:val="clear"/>
            <w:vAlign w:val="center"/>
          </w:tcPr>
          <w:p w14:paraId="284D65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2B3D9E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万</w:t>
            </w:r>
          </w:p>
        </w:tc>
        <w:tc>
          <w:tcPr>
            <w:tcW w:w="855" w:type="dxa"/>
            <w:tcBorders>
              <w:top w:val="single" w:color="000000" w:sz="4" w:space="0"/>
              <w:left w:val="single" w:color="000000" w:sz="4" w:space="0"/>
              <w:bottom w:val="nil"/>
              <w:right w:val="single" w:color="000000" w:sz="4" w:space="0"/>
            </w:tcBorders>
            <w:shd w:val="clear"/>
            <w:vAlign w:val="center"/>
          </w:tcPr>
          <w:p w14:paraId="03B9D8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855" w:type="dxa"/>
            <w:tcBorders>
              <w:top w:val="single" w:color="000000" w:sz="4" w:space="0"/>
              <w:left w:val="single" w:color="000000" w:sz="4" w:space="0"/>
              <w:bottom w:val="nil"/>
              <w:right w:val="single" w:color="000000" w:sz="4" w:space="0"/>
            </w:tcBorders>
            <w:shd w:val="clear"/>
            <w:vAlign w:val="center"/>
          </w:tcPr>
          <w:p w14:paraId="7200A5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4E0E74D6">
            <w:pPr>
              <w:jc w:val="center"/>
              <w:rPr>
                <w:rFonts w:hint="eastAsia" w:ascii="宋体" w:hAnsi="宋体" w:eastAsia="宋体" w:cs="宋体"/>
                <w:i w:val="0"/>
                <w:iCs w:val="0"/>
                <w:color w:val="000000"/>
                <w:sz w:val="18"/>
                <w:szCs w:val="18"/>
                <w:u w:val="none"/>
              </w:rPr>
            </w:pPr>
          </w:p>
        </w:tc>
      </w:tr>
      <w:tr w14:paraId="21643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5" w:type="dxa"/>
            <w:vMerge w:val="continue"/>
            <w:tcBorders>
              <w:top w:val="single" w:color="000000" w:sz="4" w:space="0"/>
              <w:left w:val="single" w:color="000000" w:sz="4" w:space="0"/>
              <w:bottom w:val="nil"/>
              <w:right w:val="single" w:color="000000" w:sz="4" w:space="0"/>
            </w:tcBorders>
            <w:shd w:val="clear"/>
            <w:vAlign w:val="center"/>
          </w:tcPr>
          <w:p w14:paraId="6B5AFD70">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vAlign w:val="center"/>
          </w:tcPr>
          <w:p w14:paraId="7B9444B3">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vAlign w:val="center"/>
          </w:tcPr>
          <w:p w14:paraId="25546B15">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vAlign w:val="center"/>
          </w:tcPr>
          <w:p w14:paraId="565D73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党组织开展工作人力支出数量</w:t>
            </w:r>
          </w:p>
        </w:tc>
        <w:tc>
          <w:tcPr>
            <w:tcW w:w="855" w:type="dxa"/>
            <w:tcBorders>
              <w:top w:val="single" w:color="000000" w:sz="4" w:space="0"/>
              <w:left w:val="single" w:color="000000" w:sz="4" w:space="0"/>
              <w:bottom w:val="nil"/>
              <w:right w:val="single" w:color="000000" w:sz="4" w:space="0"/>
            </w:tcBorders>
            <w:shd w:val="clear"/>
            <w:vAlign w:val="center"/>
          </w:tcPr>
          <w:p w14:paraId="1C62B7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反向</w:t>
            </w:r>
          </w:p>
        </w:tc>
        <w:tc>
          <w:tcPr>
            <w:tcW w:w="855" w:type="dxa"/>
            <w:tcBorders>
              <w:top w:val="single" w:color="000000" w:sz="4" w:space="0"/>
              <w:left w:val="single" w:color="000000" w:sz="4" w:space="0"/>
              <w:bottom w:val="nil"/>
              <w:right w:val="single" w:color="000000" w:sz="4" w:space="0"/>
            </w:tcBorders>
            <w:shd w:val="clear"/>
            <w:vAlign w:val="center"/>
          </w:tcPr>
          <w:p w14:paraId="3CD720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小于等于</w:t>
            </w:r>
          </w:p>
        </w:tc>
        <w:tc>
          <w:tcPr>
            <w:tcW w:w="855" w:type="dxa"/>
            <w:tcBorders>
              <w:top w:val="single" w:color="000000" w:sz="4" w:space="0"/>
              <w:left w:val="single" w:color="000000" w:sz="4" w:space="0"/>
              <w:bottom w:val="nil"/>
              <w:right w:val="single" w:color="000000" w:sz="4" w:space="0"/>
            </w:tcBorders>
            <w:shd w:val="clear"/>
            <w:vAlign w:val="center"/>
          </w:tcPr>
          <w:p w14:paraId="1B3D61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50</w:t>
            </w:r>
          </w:p>
        </w:tc>
        <w:tc>
          <w:tcPr>
            <w:tcW w:w="855" w:type="dxa"/>
            <w:tcBorders>
              <w:top w:val="single" w:color="000000" w:sz="4" w:space="0"/>
              <w:left w:val="single" w:color="000000" w:sz="4" w:space="0"/>
              <w:bottom w:val="nil"/>
              <w:right w:val="single" w:color="000000" w:sz="4" w:space="0"/>
            </w:tcBorders>
            <w:shd w:val="clear"/>
            <w:vAlign w:val="center"/>
          </w:tcPr>
          <w:p w14:paraId="5755C3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770A28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人</w:t>
            </w:r>
          </w:p>
        </w:tc>
        <w:tc>
          <w:tcPr>
            <w:tcW w:w="855" w:type="dxa"/>
            <w:tcBorders>
              <w:top w:val="single" w:color="000000" w:sz="4" w:space="0"/>
              <w:left w:val="single" w:color="000000" w:sz="4" w:space="0"/>
              <w:bottom w:val="nil"/>
              <w:right w:val="single" w:color="000000" w:sz="4" w:space="0"/>
            </w:tcBorders>
            <w:shd w:val="clear"/>
            <w:vAlign w:val="center"/>
          </w:tcPr>
          <w:p w14:paraId="6A183D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855" w:type="dxa"/>
            <w:tcBorders>
              <w:top w:val="single" w:color="000000" w:sz="4" w:space="0"/>
              <w:left w:val="single" w:color="000000" w:sz="4" w:space="0"/>
              <w:bottom w:val="nil"/>
              <w:right w:val="single" w:color="000000" w:sz="4" w:space="0"/>
            </w:tcBorders>
            <w:shd w:val="clear"/>
            <w:vAlign w:val="center"/>
          </w:tcPr>
          <w:p w14:paraId="13F36C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347E2FCC">
            <w:pPr>
              <w:jc w:val="center"/>
              <w:rPr>
                <w:rFonts w:hint="eastAsia" w:ascii="宋体" w:hAnsi="宋体" w:eastAsia="宋体" w:cs="宋体"/>
                <w:i w:val="0"/>
                <w:iCs w:val="0"/>
                <w:color w:val="000000"/>
                <w:sz w:val="18"/>
                <w:szCs w:val="18"/>
                <w:u w:val="none"/>
              </w:rPr>
            </w:pPr>
          </w:p>
        </w:tc>
      </w:tr>
      <w:tr w14:paraId="486D1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5" w:type="dxa"/>
            <w:vMerge w:val="continue"/>
            <w:tcBorders>
              <w:top w:val="single" w:color="000000" w:sz="4" w:space="0"/>
              <w:left w:val="single" w:color="000000" w:sz="4" w:space="0"/>
              <w:bottom w:val="nil"/>
              <w:right w:val="single" w:color="000000" w:sz="4" w:space="0"/>
            </w:tcBorders>
            <w:shd w:val="clear"/>
            <w:vAlign w:val="center"/>
          </w:tcPr>
          <w:p w14:paraId="2F8443D1">
            <w:pPr>
              <w:jc w:val="center"/>
              <w:rPr>
                <w:rFonts w:hint="eastAsia" w:ascii="宋体" w:hAnsi="宋体" w:eastAsia="宋体" w:cs="宋体"/>
                <w:i w:val="0"/>
                <w:iCs w:val="0"/>
                <w:color w:val="000000"/>
                <w:sz w:val="18"/>
                <w:szCs w:val="18"/>
                <w:u w:val="none"/>
              </w:rPr>
            </w:pPr>
          </w:p>
        </w:tc>
        <w:tc>
          <w:tcPr>
            <w:tcW w:w="855" w:type="dxa"/>
            <w:vMerge w:val="restart"/>
            <w:tcBorders>
              <w:top w:val="single" w:color="000000" w:sz="4" w:space="0"/>
              <w:left w:val="single" w:color="000000" w:sz="4" w:space="0"/>
              <w:bottom w:val="nil"/>
              <w:right w:val="single" w:color="000000" w:sz="4" w:space="0"/>
            </w:tcBorders>
            <w:shd w:val="clear"/>
            <w:vAlign w:val="center"/>
          </w:tcPr>
          <w:p w14:paraId="613CDD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效益指标</w:t>
            </w:r>
          </w:p>
        </w:tc>
        <w:tc>
          <w:tcPr>
            <w:tcW w:w="855" w:type="dxa"/>
            <w:tcBorders>
              <w:top w:val="single" w:color="000000" w:sz="4" w:space="0"/>
              <w:left w:val="single" w:color="000000" w:sz="4" w:space="0"/>
              <w:bottom w:val="nil"/>
              <w:right w:val="single" w:color="000000" w:sz="4" w:space="0"/>
            </w:tcBorders>
            <w:shd w:val="clear"/>
            <w:vAlign w:val="center"/>
          </w:tcPr>
          <w:p w14:paraId="263046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经济效益指标</w:t>
            </w:r>
          </w:p>
        </w:tc>
        <w:tc>
          <w:tcPr>
            <w:tcW w:w="855" w:type="dxa"/>
            <w:tcBorders>
              <w:top w:val="single" w:color="000000" w:sz="4" w:space="0"/>
              <w:left w:val="single" w:color="000000" w:sz="4" w:space="0"/>
              <w:bottom w:val="nil"/>
              <w:right w:val="single" w:color="000000" w:sz="4" w:space="0"/>
            </w:tcBorders>
            <w:shd w:val="clear"/>
            <w:vAlign w:val="center"/>
          </w:tcPr>
          <w:p w14:paraId="09126A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辖区居民是否满意</w:t>
            </w:r>
          </w:p>
        </w:tc>
        <w:tc>
          <w:tcPr>
            <w:tcW w:w="855" w:type="dxa"/>
            <w:tcBorders>
              <w:top w:val="single" w:color="000000" w:sz="4" w:space="0"/>
              <w:left w:val="single" w:color="000000" w:sz="4" w:space="0"/>
              <w:bottom w:val="nil"/>
              <w:right w:val="single" w:color="000000" w:sz="4" w:space="0"/>
            </w:tcBorders>
            <w:shd w:val="clear"/>
            <w:vAlign w:val="center"/>
          </w:tcPr>
          <w:p w14:paraId="18ED64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定性</w:t>
            </w:r>
          </w:p>
        </w:tc>
        <w:tc>
          <w:tcPr>
            <w:tcW w:w="855" w:type="dxa"/>
            <w:tcBorders>
              <w:top w:val="single" w:color="000000" w:sz="4" w:space="0"/>
              <w:left w:val="single" w:color="000000" w:sz="4" w:space="0"/>
              <w:bottom w:val="nil"/>
              <w:right w:val="single" w:color="000000" w:sz="4" w:space="0"/>
            </w:tcBorders>
            <w:shd w:val="clear"/>
            <w:vAlign w:val="center"/>
          </w:tcPr>
          <w:p w14:paraId="43E805AA">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vAlign w:val="center"/>
          </w:tcPr>
          <w:p w14:paraId="26D480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是</w:t>
            </w:r>
          </w:p>
        </w:tc>
        <w:tc>
          <w:tcPr>
            <w:tcW w:w="855" w:type="dxa"/>
            <w:tcBorders>
              <w:top w:val="single" w:color="000000" w:sz="4" w:space="0"/>
              <w:left w:val="single" w:color="000000" w:sz="4" w:space="0"/>
              <w:bottom w:val="nil"/>
              <w:right w:val="single" w:color="000000" w:sz="4" w:space="0"/>
            </w:tcBorders>
            <w:shd w:val="clear"/>
            <w:vAlign w:val="center"/>
          </w:tcPr>
          <w:p w14:paraId="35C3FF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4EE8BABD">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vAlign w:val="center"/>
          </w:tcPr>
          <w:p w14:paraId="7C1306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855" w:type="dxa"/>
            <w:tcBorders>
              <w:top w:val="single" w:color="000000" w:sz="4" w:space="0"/>
              <w:left w:val="single" w:color="000000" w:sz="4" w:space="0"/>
              <w:bottom w:val="nil"/>
              <w:right w:val="single" w:color="000000" w:sz="4" w:space="0"/>
            </w:tcBorders>
            <w:shd w:val="clear"/>
            <w:vAlign w:val="center"/>
          </w:tcPr>
          <w:p w14:paraId="5A540E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72F54C26">
            <w:pPr>
              <w:jc w:val="center"/>
              <w:rPr>
                <w:rFonts w:hint="eastAsia" w:ascii="宋体" w:hAnsi="宋体" w:eastAsia="宋体" w:cs="宋体"/>
                <w:i w:val="0"/>
                <w:iCs w:val="0"/>
                <w:color w:val="000000"/>
                <w:sz w:val="18"/>
                <w:szCs w:val="18"/>
                <w:u w:val="none"/>
              </w:rPr>
            </w:pPr>
          </w:p>
        </w:tc>
      </w:tr>
      <w:tr w14:paraId="0E945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5" w:type="dxa"/>
            <w:vMerge w:val="continue"/>
            <w:tcBorders>
              <w:top w:val="single" w:color="000000" w:sz="4" w:space="0"/>
              <w:left w:val="single" w:color="000000" w:sz="4" w:space="0"/>
              <w:bottom w:val="nil"/>
              <w:right w:val="single" w:color="000000" w:sz="4" w:space="0"/>
            </w:tcBorders>
            <w:shd w:val="clear"/>
            <w:vAlign w:val="center"/>
          </w:tcPr>
          <w:p w14:paraId="701CCBF6">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vAlign w:val="center"/>
          </w:tcPr>
          <w:p w14:paraId="6BC74C24">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vAlign w:val="center"/>
          </w:tcPr>
          <w:p w14:paraId="62F01F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社会效益指标</w:t>
            </w:r>
          </w:p>
        </w:tc>
        <w:tc>
          <w:tcPr>
            <w:tcW w:w="855" w:type="dxa"/>
            <w:tcBorders>
              <w:top w:val="single" w:color="000000" w:sz="4" w:space="0"/>
              <w:left w:val="single" w:color="000000" w:sz="4" w:space="0"/>
              <w:bottom w:val="nil"/>
              <w:right w:val="single" w:color="000000" w:sz="4" w:space="0"/>
            </w:tcBorders>
            <w:shd w:val="clear"/>
            <w:vAlign w:val="center"/>
          </w:tcPr>
          <w:p w14:paraId="43FE71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辖区居民是否满意</w:t>
            </w:r>
          </w:p>
        </w:tc>
        <w:tc>
          <w:tcPr>
            <w:tcW w:w="855" w:type="dxa"/>
            <w:tcBorders>
              <w:top w:val="single" w:color="000000" w:sz="4" w:space="0"/>
              <w:left w:val="single" w:color="000000" w:sz="4" w:space="0"/>
              <w:bottom w:val="nil"/>
              <w:right w:val="single" w:color="000000" w:sz="4" w:space="0"/>
            </w:tcBorders>
            <w:shd w:val="clear"/>
            <w:vAlign w:val="center"/>
          </w:tcPr>
          <w:p w14:paraId="3EAA98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定性</w:t>
            </w:r>
          </w:p>
        </w:tc>
        <w:tc>
          <w:tcPr>
            <w:tcW w:w="855" w:type="dxa"/>
            <w:tcBorders>
              <w:top w:val="single" w:color="000000" w:sz="4" w:space="0"/>
              <w:left w:val="single" w:color="000000" w:sz="4" w:space="0"/>
              <w:bottom w:val="nil"/>
              <w:right w:val="single" w:color="000000" w:sz="4" w:space="0"/>
            </w:tcBorders>
            <w:shd w:val="clear"/>
            <w:vAlign w:val="center"/>
          </w:tcPr>
          <w:p w14:paraId="43CC8B0F">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vAlign w:val="center"/>
          </w:tcPr>
          <w:p w14:paraId="46A4AE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是</w:t>
            </w:r>
          </w:p>
        </w:tc>
        <w:tc>
          <w:tcPr>
            <w:tcW w:w="855" w:type="dxa"/>
            <w:tcBorders>
              <w:top w:val="single" w:color="000000" w:sz="4" w:space="0"/>
              <w:left w:val="single" w:color="000000" w:sz="4" w:space="0"/>
              <w:bottom w:val="nil"/>
              <w:right w:val="single" w:color="000000" w:sz="4" w:space="0"/>
            </w:tcBorders>
            <w:shd w:val="clear"/>
            <w:vAlign w:val="center"/>
          </w:tcPr>
          <w:p w14:paraId="73AECD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43654B86">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vAlign w:val="center"/>
          </w:tcPr>
          <w:p w14:paraId="226282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855" w:type="dxa"/>
            <w:tcBorders>
              <w:top w:val="single" w:color="000000" w:sz="4" w:space="0"/>
              <w:left w:val="single" w:color="000000" w:sz="4" w:space="0"/>
              <w:bottom w:val="nil"/>
              <w:right w:val="single" w:color="000000" w:sz="4" w:space="0"/>
            </w:tcBorders>
            <w:shd w:val="clear"/>
            <w:vAlign w:val="center"/>
          </w:tcPr>
          <w:p w14:paraId="40A279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708A93A0">
            <w:pPr>
              <w:jc w:val="center"/>
              <w:rPr>
                <w:rFonts w:hint="eastAsia" w:ascii="宋体" w:hAnsi="宋体" w:eastAsia="宋体" w:cs="宋体"/>
                <w:i w:val="0"/>
                <w:iCs w:val="0"/>
                <w:color w:val="000000"/>
                <w:sz w:val="18"/>
                <w:szCs w:val="18"/>
                <w:u w:val="none"/>
              </w:rPr>
            </w:pPr>
          </w:p>
        </w:tc>
      </w:tr>
      <w:tr w14:paraId="2FB5C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5" w:type="dxa"/>
            <w:vMerge w:val="continue"/>
            <w:tcBorders>
              <w:top w:val="single" w:color="000000" w:sz="4" w:space="0"/>
              <w:left w:val="single" w:color="000000" w:sz="4" w:space="0"/>
              <w:bottom w:val="nil"/>
              <w:right w:val="single" w:color="000000" w:sz="4" w:space="0"/>
            </w:tcBorders>
            <w:shd w:val="clear"/>
            <w:vAlign w:val="center"/>
          </w:tcPr>
          <w:p w14:paraId="745A5895">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vAlign w:val="center"/>
          </w:tcPr>
          <w:p w14:paraId="5D1A2B7F">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vAlign w:val="center"/>
          </w:tcPr>
          <w:p w14:paraId="555D13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生态效益指标</w:t>
            </w:r>
          </w:p>
        </w:tc>
        <w:tc>
          <w:tcPr>
            <w:tcW w:w="855" w:type="dxa"/>
            <w:tcBorders>
              <w:top w:val="single" w:color="000000" w:sz="4" w:space="0"/>
              <w:left w:val="single" w:color="000000" w:sz="4" w:space="0"/>
              <w:bottom w:val="nil"/>
              <w:right w:val="single" w:color="000000" w:sz="4" w:space="0"/>
            </w:tcBorders>
            <w:shd w:val="clear"/>
            <w:vAlign w:val="center"/>
          </w:tcPr>
          <w:p w14:paraId="51A643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辖区居民是否满意</w:t>
            </w:r>
          </w:p>
        </w:tc>
        <w:tc>
          <w:tcPr>
            <w:tcW w:w="855" w:type="dxa"/>
            <w:tcBorders>
              <w:top w:val="single" w:color="000000" w:sz="4" w:space="0"/>
              <w:left w:val="single" w:color="000000" w:sz="4" w:space="0"/>
              <w:bottom w:val="nil"/>
              <w:right w:val="single" w:color="000000" w:sz="4" w:space="0"/>
            </w:tcBorders>
            <w:shd w:val="clear"/>
            <w:vAlign w:val="center"/>
          </w:tcPr>
          <w:p w14:paraId="53DD0E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定性</w:t>
            </w:r>
          </w:p>
        </w:tc>
        <w:tc>
          <w:tcPr>
            <w:tcW w:w="855" w:type="dxa"/>
            <w:tcBorders>
              <w:top w:val="single" w:color="000000" w:sz="4" w:space="0"/>
              <w:left w:val="single" w:color="000000" w:sz="4" w:space="0"/>
              <w:bottom w:val="nil"/>
              <w:right w:val="single" w:color="000000" w:sz="4" w:space="0"/>
            </w:tcBorders>
            <w:shd w:val="clear"/>
            <w:vAlign w:val="center"/>
          </w:tcPr>
          <w:p w14:paraId="5FB7B18C">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vAlign w:val="center"/>
          </w:tcPr>
          <w:p w14:paraId="25CBC1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是</w:t>
            </w:r>
          </w:p>
        </w:tc>
        <w:tc>
          <w:tcPr>
            <w:tcW w:w="855" w:type="dxa"/>
            <w:tcBorders>
              <w:top w:val="single" w:color="000000" w:sz="4" w:space="0"/>
              <w:left w:val="single" w:color="000000" w:sz="4" w:space="0"/>
              <w:bottom w:val="nil"/>
              <w:right w:val="single" w:color="000000" w:sz="4" w:space="0"/>
            </w:tcBorders>
            <w:shd w:val="clear"/>
            <w:vAlign w:val="center"/>
          </w:tcPr>
          <w:p w14:paraId="44DD45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69BE2453">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vAlign w:val="center"/>
          </w:tcPr>
          <w:p w14:paraId="30EDE1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855" w:type="dxa"/>
            <w:tcBorders>
              <w:top w:val="single" w:color="000000" w:sz="4" w:space="0"/>
              <w:left w:val="single" w:color="000000" w:sz="4" w:space="0"/>
              <w:bottom w:val="nil"/>
              <w:right w:val="single" w:color="000000" w:sz="4" w:space="0"/>
            </w:tcBorders>
            <w:shd w:val="clear"/>
            <w:vAlign w:val="center"/>
          </w:tcPr>
          <w:p w14:paraId="37EAE7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38EAD9E9">
            <w:pPr>
              <w:jc w:val="center"/>
              <w:rPr>
                <w:rFonts w:hint="eastAsia" w:ascii="宋体" w:hAnsi="宋体" w:eastAsia="宋体" w:cs="宋体"/>
                <w:i w:val="0"/>
                <w:iCs w:val="0"/>
                <w:color w:val="000000"/>
                <w:sz w:val="18"/>
                <w:szCs w:val="18"/>
                <w:u w:val="none"/>
              </w:rPr>
            </w:pPr>
          </w:p>
        </w:tc>
      </w:tr>
      <w:tr w14:paraId="14767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5" w:type="dxa"/>
            <w:vMerge w:val="continue"/>
            <w:tcBorders>
              <w:top w:val="single" w:color="000000" w:sz="4" w:space="0"/>
              <w:left w:val="single" w:color="000000" w:sz="4" w:space="0"/>
              <w:bottom w:val="nil"/>
              <w:right w:val="single" w:color="000000" w:sz="4" w:space="0"/>
            </w:tcBorders>
            <w:shd w:val="clear"/>
            <w:vAlign w:val="center"/>
          </w:tcPr>
          <w:p w14:paraId="19EBDF91">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vAlign w:val="center"/>
          </w:tcPr>
          <w:p w14:paraId="556BE8BC">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vAlign w:val="center"/>
          </w:tcPr>
          <w:p w14:paraId="686E2A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可持续影响指标</w:t>
            </w:r>
          </w:p>
        </w:tc>
        <w:tc>
          <w:tcPr>
            <w:tcW w:w="855" w:type="dxa"/>
            <w:tcBorders>
              <w:top w:val="single" w:color="000000" w:sz="4" w:space="0"/>
              <w:left w:val="single" w:color="000000" w:sz="4" w:space="0"/>
              <w:bottom w:val="nil"/>
              <w:right w:val="single" w:color="000000" w:sz="4" w:space="0"/>
            </w:tcBorders>
            <w:shd w:val="clear"/>
            <w:vAlign w:val="center"/>
          </w:tcPr>
          <w:p w14:paraId="3A67A8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辖区居民是否满意</w:t>
            </w:r>
          </w:p>
        </w:tc>
        <w:tc>
          <w:tcPr>
            <w:tcW w:w="855" w:type="dxa"/>
            <w:tcBorders>
              <w:top w:val="single" w:color="000000" w:sz="4" w:space="0"/>
              <w:left w:val="single" w:color="000000" w:sz="4" w:space="0"/>
              <w:bottom w:val="nil"/>
              <w:right w:val="single" w:color="000000" w:sz="4" w:space="0"/>
            </w:tcBorders>
            <w:shd w:val="clear"/>
            <w:vAlign w:val="center"/>
          </w:tcPr>
          <w:p w14:paraId="0B1DD3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定性</w:t>
            </w:r>
          </w:p>
        </w:tc>
        <w:tc>
          <w:tcPr>
            <w:tcW w:w="855" w:type="dxa"/>
            <w:tcBorders>
              <w:top w:val="single" w:color="000000" w:sz="4" w:space="0"/>
              <w:left w:val="single" w:color="000000" w:sz="4" w:space="0"/>
              <w:bottom w:val="nil"/>
              <w:right w:val="single" w:color="000000" w:sz="4" w:space="0"/>
            </w:tcBorders>
            <w:shd w:val="clear"/>
            <w:vAlign w:val="center"/>
          </w:tcPr>
          <w:p w14:paraId="1B70FF8E">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vAlign w:val="center"/>
          </w:tcPr>
          <w:p w14:paraId="66B390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是</w:t>
            </w:r>
          </w:p>
        </w:tc>
        <w:tc>
          <w:tcPr>
            <w:tcW w:w="855" w:type="dxa"/>
            <w:tcBorders>
              <w:top w:val="single" w:color="000000" w:sz="4" w:space="0"/>
              <w:left w:val="single" w:color="000000" w:sz="4" w:space="0"/>
              <w:bottom w:val="nil"/>
              <w:right w:val="single" w:color="000000" w:sz="4" w:space="0"/>
            </w:tcBorders>
            <w:shd w:val="clear"/>
            <w:vAlign w:val="center"/>
          </w:tcPr>
          <w:p w14:paraId="6539B9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348FDD79">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vAlign w:val="center"/>
          </w:tcPr>
          <w:p w14:paraId="0E8FD3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855" w:type="dxa"/>
            <w:tcBorders>
              <w:top w:val="single" w:color="000000" w:sz="4" w:space="0"/>
              <w:left w:val="single" w:color="000000" w:sz="4" w:space="0"/>
              <w:bottom w:val="nil"/>
              <w:right w:val="single" w:color="000000" w:sz="4" w:space="0"/>
            </w:tcBorders>
            <w:shd w:val="clear"/>
            <w:vAlign w:val="center"/>
          </w:tcPr>
          <w:p w14:paraId="50C5D7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75FF0A64">
            <w:pPr>
              <w:jc w:val="center"/>
              <w:rPr>
                <w:rFonts w:hint="eastAsia" w:ascii="宋体" w:hAnsi="宋体" w:eastAsia="宋体" w:cs="宋体"/>
                <w:i w:val="0"/>
                <w:iCs w:val="0"/>
                <w:color w:val="000000"/>
                <w:sz w:val="18"/>
                <w:szCs w:val="18"/>
                <w:u w:val="none"/>
              </w:rPr>
            </w:pPr>
          </w:p>
        </w:tc>
      </w:tr>
      <w:tr w14:paraId="0053A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5" w:type="dxa"/>
            <w:vMerge w:val="continue"/>
            <w:tcBorders>
              <w:top w:val="single" w:color="000000" w:sz="4" w:space="0"/>
              <w:left w:val="single" w:color="000000" w:sz="4" w:space="0"/>
              <w:bottom w:val="nil"/>
              <w:right w:val="single" w:color="000000" w:sz="4" w:space="0"/>
            </w:tcBorders>
            <w:shd w:val="clear"/>
            <w:vAlign w:val="center"/>
          </w:tcPr>
          <w:p w14:paraId="4E562015">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vAlign w:val="center"/>
          </w:tcPr>
          <w:p w14:paraId="45823B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满意度指标</w:t>
            </w:r>
          </w:p>
        </w:tc>
        <w:tc>
          <w:tcPr>
            <w:tcW w:w="855" w:type="dxa"/>
            <w:tcBorders>
              <w:top w:val="single" w:color="000000" w:sz="4" w:space="0"/>
              <w:left w:val="single" w:color="000000" w:sz="4" w:space="0"/>
              <w:bottom w:val="nil"/>
              <w:right w:val="single" w:color="000000" w:sz="4" w:space="0"/>
            </w:tcBorders>
            <w:shd w:val="clear"/>
            <w:vAlign w:val="center"/>
          </w:tcPr>
          <w:p w14:paraId="6C39A6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服务对象满意度指标</w:t>
            </w:r>
          </w:p>
        </w:tc>
        <w:tc>
          <w:tcPr>
            <w:tcW w:w="855" w:type="dxa"/>
            <w:tcBorders>
              <w:top w:val="single" w:color="000000" w:sz="4" w:space="0"/>
              <w:left w:val="single" w:color="000000" w:sz="4" w:space="0"/>
              <w:bottom w:val="nil"/>
              <w:right w:val="single" w:color="000000" w:sz="4" w:space="0"/>
            </w:tcBorders>
            <w:shd w:val="clear"/>
            <w:vAlign w:val="center"/>
          </w:tcPr>
          <w:p w14:paraId="2006FA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辖区居民是否满意</w:t>
            </w:r>
          </w:p>
        </w:tc>
        <w:tc>
          <w:tcPr>
            <w:tcW w:w="855" w:type="dxa"/>
            <w:tcBorders>
              <w:top w:val="single" w:color="000000" w:sz="4" w:space="0"/>
              <w:left w:val="single" w:color="000000" w:sz="4" w:space="0"/>
              <w:bottom w:val="nil"/>
              <w:right w:val="single" w:color="000000" w:sz="4" w:space="0"/>
            </w:tcBorders>
            <w:shd w:val="clear"/>
            <w:vAlign w:val="center"/>
          </w:tcPr>
          <w:p w14:paraId="3E6248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正向</w:t>
            </w:r>
          </w:p>
        </w:tc>
        <w:tc>
          <w:tcPr>
            <w:tcW w:w="855" w:type="dxa"/>
            <w:tcBorders>
              <w:top w:val="single" w:color="000000" w:sz="4" w:space="0"/>
              <w:left w:val="single" w:color="000000" w:sz="4" w:space="0"/>
              <w:bottom w:val="nil"/>
              <w:right w:val="single" w:color="000000" w:sz="4" w:space="0"/>
            </w:tcBorders>
            <w:shd w:val="clear"/>
            <w:vAlign w:val="center"/>
          </w:tcPr>
          <w:p w14:paraId="7E676F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大于等于</w:t>
            </w:r>
          </w:p>
        </w:tc>
        <w:tc>
          <w:tcPr>
            <w:tcW w:w="855" w:type="dxa"/>
            <w:tcBorders>
              <w:top w:val="single" w:color="000000" w:sz="4" w:space="0"/>
              <w:left w:val="single" w:color="000000" w:sz="4" w:space="0"/>
              <w:bottom w:val="nil"/>
              <w:right w:val="single" w:color="000000" w:sz="4" w:space="0"/>
            </w:tcBorders>
            <w:shd w:val="clear"/>
            <w:vAlign w:val="center"/>
          </w:tcPr>
          <w:p w14:paraId="6040F1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90</w:t>
            </w:r>
          </w:p>
        </w:tc>
        <w:tc>
          <w:tcPr>
            <w:tcW w:w="855" w:type="dxa"/>
            <w:tcBorders>
              <w:top w:val="single" w:color="000000" w:sz="4" w:space="0"/>
              <w:left w:val="single" w:color="000000" w:sz="4" w:space="0"/>
              <w:bottom w:val="nil"/>
              <w:right w:val="single" w:color="000000" w:sz="4" w:space="0"/>
            </w:tcBorders>
            <w:shd w:val="clear"/>
            <w:vAlign w:val="center"/>
          </w:tcPr>
          <w:p w14:paraId="6811C8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50C176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百分比</w:t>
            </w:r>
          </w:p>
        </w:tc>
        <w:tc>
          <w:tcPr>
            <w:tcW w:w="855" w:type="dxa"/>
            <w:tcBorders>
              <w:top w:val="single" w:color="000000" w:sz="4" w:space="0"/>
              <w:left w:val="single" w:color="000000" w:sz="4" w:space="0"/>
              <w:bottom w:val="nil"/>
              <w:right w:val="single" w:color="000000" w:sz="4" w:space="0"/>
            </w:tcBorders>
            <w:shd w:val="clear"/>
            <w:vAlign w:val="center"/>
          </w:tcPr>
          <w:p w14:paraId="745B7A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855" w:type="dxa"/>
            <w:tcBorders>
              <w:top w:val="single" w:color="000000" w:sz="4" w:space="0"/>
              <w:left w:val="single" w:color="000000" w:sz="4" w:space="0"/>
              <w:bottom w:val="nil"/>
              <w:right w:val="single" w:color="000000" w:sz="4" w:space="0"/>
            </w:tcBorders>
            <w:shd w:val="clear"/>
            <w:vAlign w:val="center"/>
          </w:tcPr>
          <w:p w14:paraId="7A5603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855" w:type="dxa"/>
            <w:tcBorders>
              <w:top w:val="single" w:color="000000" w:sz="4" w:space="0"/>
              <w:left w:val="single" w:color="000000" w:sz="4" w:space="0"/>
              <w:bottom w:val="nil"/>
              <w:right w:val="single" w:color="000000" w:sz="4" w:space="0"/>
            </w:tcBorders>
            <w:shd w:val="clear"/>
            <w:vAlign w:val="center"/>
          </w:tcPr>
          <w:p w14:paraId="34F8AB53">
            <w:pPr>
              <w:jc w:val="center"/>
              <w:rPr>
                <w:rFonts w:hint="eastAsia" w:ascii="宋体" w:hAnsi="宋体" w:eastAsia="宋体" w:cs="宋体"/>
                <w:i w:val="0"/>
                <w:iCs w:val="0"/>
                <w:color w:val="000000"/>
                <w:sz w:val="18"/>
                <w:szCs w:val="18"/>
                <w:u w:val="none"/>
              </w:rPr>
            </w:pPr>
          </w:p>
        </w:tc>
      </w:tr>
      <w:tr w14:paraId="6AD07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7695" w:type="dxa"/>
            <w:gridSpan w:val="9"/>
            <w:tcBorders>
              <w:top w:val="single" w:color="000000" w:sz="4" w:space="0"/>
              <w:left w:val="single" w:color="000000" w:sz="4" w:space="0"/>
              <w:bottom w:val="single" w:color="000000" w:sz="4" w:space="0"/>
              <w:right w:val="single" w:color="000000" w:sz="4" w:space="0"/>
            </w:tcBorders>
            <w:shd w:val="clear"/>
            <w:vAlign w:val="center"/>
          </w:tcPr>
          <w:p w14:paraId="1996D1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总分</w:t>
            </w: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374DED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0D6CE7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10.00</w:t>
            </w:r>
          </w:p>
        </w:tc>
        <w:tc>
          <w:tcPr>
            <w:tcW w:w="855" w:type="dxa"/>
            <w:tcBorders>
              <w:top w:val="single" w:color="000000" w:sz="4" w:space="0"/>
              <w:left w:val="single" w:color="000000" w:sz="4" w:space="0"/>
              <w:bottom w:val="single" w:color="000000" w:sz="4" w:space="0"/>
              <w:right w:val="single" w:color="000000" w:sz="4" w:space="0"/>
            </w:tcBorders>
            <w:shd w:val="clear"/>
            <w:vAlign w:val="center"/>
          </w:tcPr>
          <w:p w14:paraId="420D5D11">
            <w:pPr>
              <w:jc w:val="center"/>
              <w:rPr>
                <w:rFonts w:hint="eastAsia" w:ascii="宋体" w:hAnsi="宋体" w:eastAsia="宋体" w:cs="宋体"/>
                <w:i w:val="0"/>
                <w:iCs w:val="0"/>
                <w:color w:val="000000"/>
                <w:sz w:val="18"/>
                <w:szCs w:val="18"/>
                <w:u w:val="none"/>
              </w:rPr>
            </w:pPr>
          </w:p>
        </w:tc>
      </w:tr>
    </w:tbl>
    <w:p w14:paraId="2CDDB5F5">
      <w:pPr>
        <w:keepNext w:val="0"/>
        <w:keepLines w:val="0"/>
        <w:pageBreakBefore w:val="0"/>
        <w:widowControl w:val="0"/>
        <w:numPr>
          <w:ilvl w:val="0"/>
          <w:numId w:val="0"/>
        </w:numPr>
        <w:kinsoku/>
        <w:wordWrap/>
        <w:overflowPunct/>
        <w:topLinePunct/>
        <w:autoSpaceDE/>
        <w:autoSpaceDN/>
        <w:bidi w:val="0"/>
        <w:adjustRightInd/>
        <w:snapToGrid/>
        <w:spacing w:line="520" w:lineRule="exact"/>
        <w:ind w:right="0" w:rightChars="0"/>
        <w:jc w:val="both"/>
        <w:textAlignment w:val="auto"/>
        <w:outlineLvl w:val="9"/>
        <w:rPr>
          <w:rFonts w:hint="eastAsia" w:ascii="仿宋" w:hAnsi="仿宋" w:eastAsia="仿宋" w:cs="仿宋"/>
          <w:kern w:val="2"/>
          <w:sz w:val="32"/>
          <w:szCs w:val="32"/>
        </w:rPr>
      </w:pPr>
    </w:p>
    <w:p w14:paraId="7FF34E4B">
      <w:pPr>
        <w:keepNext w:val="0"/>
        <w:keepLines w:val="0"/>
        <w:pageBreakBefore w:val="0"/>
        <w:widowControl w:val="0"/>
        <w:numPr>
          <w:ilvl w:val="0"/>
          <w:numId w:val="0"/>
        </w:numPr>
        <w:kinsoku/>
        <w:wordWrap/>
        <w:overflowPunct/>
        <w:topLinePunct/>
        <w:autoSpaceDE/>
        <w:autoSpaceDN/>
        <w:bidi w:val="0"/>
        <w:adjustRightInd/>
        <w:snapToGrid/>
        <w:spacing w:line="520" w:lineRule="exact"/>
        <w:ind w:right="0" w:rightChars="0"/>
        <w:jc w:val="both"/>
        <w:textAlignment w:val="auto"/>
        <w:outlineLvl w:val="9"/>
        <w:rPr>
          <w:rFonts w:hint="eastAsia" w:ascii="仿宋" w:hAnsi="仿宋" w:eastAsia="仿宋" w:cs="仿宋"/>
          <w:kern w:val="2"/>
          <w:sz w:val="32"/>
          <w:szCs w:val="32"/>
        </w:rPr>
      </w:pPr>
    </w:p>
    <w:p w14:paraId="77714BA7">
      <w:pPr>
        <w:keepNext w:val="0"/>
        <w:keepLines w:val="0"/>
        <w:pageBreakBefore w:val="0"/>
        <w:widowControl w:val="0"/>
        <w:numPr>
          <w:ilvl w:val="0"/>
          <w:numId w:val="0"/>
        </w:numPr>
        <w:kinsoku/>
        <w:wordWrap/>
        <w:overflowPunct/>
        <w:topLinePunct/>
        <w:autoSpaceDE/>
        <w:autoSpaceDN/>
        <w:bidi w:val="0"/>
        <w:adjustRightInd/>
        <w:snapToGrid/>
        <w:spacing w:line="520" w:lineRule="exact"/>
        <w:ind w:right="0" w:rightChars="0"/>
        <w:jc w:val="both"/>
        <w:textAlignment w:val="auto"/>
        <w:outlineLvl w:val="9"/>
        <w:rPr>
          <w:rFonts w:hint="eastAsia" w:ascii="仿宋" w:hAnsi="仿宋" w:eastAsia="仿宋" w:cs="仿宋"/>
          <w:kern w:val="2"/>
          <w:sz w:val="32"/>
          <w:szCs w:val="32"/>
        </w:rPr>
      </w:pPr>
    </w:p>
    <w:tbl>
      <w:tblPr>
        <w:tblStyle w:val="20"/>
        <w:tblW w:w="102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55"/>
        <w:gridCol w:w="855"/>
        <w:gridCol w:w="855"/>
        <w:gridCol w:w="855"/>
        <w:gridCol w:w="855"/>
        <w:gridCol w:w="855"/>
        <w:gridCol w:w="855"/>
        <w:gridCol w:w="855"/>
        <w:gridCol w:w="855"/>
        <w:gridCol w:w="855"/>
        <w:gridCol w:w="855"/>
        <w:gridCol w:w="855"/>
      </w:tblGrid>
      <w:tr w14:paraId="0AD43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10260"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5F9F00F8">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项目支出绩效自评表</w:t>
            </w:r>
            <w:r>
              <w:rPr>
                <w:rFonts w:hint="eastAsia" w:ascii="宋体" w:hAnsi="宋体" w:eastAsia="宋体" w:cs="宋体"/>
                <w:b/>
                <w:bCs/>
                <w:i w:val="0"/>
                <w:iCs w:val="0"/>
                <w:color w:val="000000"/>
                <w:kern w:val="0"/>
                <w:sz w:val="40"/>
                <w:szCs w:val="40"/>
                <w:u w:val="none"/>
                <w:lang w:val="en-US" w:eastAsia="zh-CN" w:bidi="ar"/>
              </w:rPr>
              <w:br w:type="textWrapping"/>
            </w:r>
            <w:r>
              <w:rPr>
                <w:rFonts w:hint="eastAsia" w:ascii="宋体" w:hAnsi="宋体" w:eastAsia="宋体" w:cs="宋体"/>
                <w:b/>
                <w:bCs/>
                <w:i w:val="0"/>
                <w:iCs w:val="0"/>
                <w:color w:val="000000"/>
                <w:kern w:val="0"/>
                <w:sz w:val="40"/>
                <w:szCs w:val="40"/>
                <w:u w:val="none"/>
                <w:lang w:val="en-US" w:eastAsia="zh-CN" w:bidi="ar"/>
              </w:rPr>
              <w:t>(2024年度）</w:t>
            </w:r>
          </w:p>
        </w:tc>
      </w:tr>
      <w:tr w14:paraId="027BF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4EB48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55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6D8F38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河西街道郑家沟水毁设施修复项目</w:t>
            </w:r>
          </w:p>
        </w:tc>
      </w:tr>
      <w:tr w14:paraId="5E394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46980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342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57BCE9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扎兰屯市河西办事处（部门）</w:t>
            </w:r>
          </w:p>
        </w:tc>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D99F6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342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F0CB76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扎兰屯市河西街道办事处</w:t>
            </w:r>
          </w:p>
        </w:tc>
      </w:tr>
      <w:tr w14:paraId="6E61D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71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C244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70060">
            <w:pP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33F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9614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w:t>
            </w:r>
          </w:p>
        </w:tc>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ADF2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3B9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5E5A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A68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6D41B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71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FE69E">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B7C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年度资金总额</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9BC8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EB88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9.9</w:t>
            </w:r>
          </w:p>
        </w:tc>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4ED1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AD8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9BEE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18F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01BE9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71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65BF71">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B199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其中：财政拨款</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94CE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F136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9.9</w:t>
            </w:r>
          </w:p>
        </w:tc>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0D07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A0C60">
            <w:pPr>
              <w:keepNext w:val="0"/>
              <w:keepLines w:val="0"/>
              <w:widowControl/>
              <w:suppressLineNumbers w:val="0"/>
              <w:jc w:val="center"/>
              <w:textAlignment w:val="center"/>
              <w:rPr>
                <w:rFonts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lang w:val="en-US" w:eastAsia="zh-CN" w:bidi="ar"/>
              </w:rPr>
              <w:t>——</w:t>
            </w:r>
          </w:p>
        </w:tc>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07A5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F1096">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lang w:val="en-US" w:eastAsia="zh-CN" w:bidi="ar"/>
              </w:rPr>
              <w:t>——</w:t>
            </w:r>
          </w:p>
        </w:tc>
      </w:tr>
      <w:tr w14:paraId="2BA28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71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39A84">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C85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上年结转资金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C8994">
            <w:pPr>
              <w:rPr>
                <w:rFonts w:hint="eastAsia" w:ascii="宋体" w:hAnsi="宋体" w:eastAsia="宋体" w:cs="宋体"/>
                <w:i w:val="0"/>
                <w:iCs w:val="0"/>
                <w:color w:val="000000"/>
                <w:sz w:val="18"/>
                <w:szCs w:val="18"/>
                <w:u w:val="none"/>
              </w:rPr>
            </w:pPr>
          </w:p>
        </w:tc>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AA30A4">
            <w:pPr>
              <w:jc w:val="center"/>
              <w:rPr>
                <w:rFonts w:hint="eastAsia" w:ascii="宋体" w:hAnsi="宋体" w:eastAsia="宋体" w:cs="宋体"/>
                <w:i w:val="0"/>
                <w:iCs w:val="0"/>
                <w:color w:val="000000"/>
                <w:sz w:val="18"/>
                <w:szCs w:val="18"/>
                <w:u w:val="none"/>
              </w:rPr>
            </w:pPr>
          </w:p>
        </w:tc>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3D88A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49F01">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lang w:val="en-US" w:eastAsia="zh-CN" w:bidi="ar"/>
              </w:rPr>
              <w:t>——</w:t>
            </w:r>
          </w:p>
        </w:tc>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90C51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8BA26">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lang w:val="en-US" w:eastAsia="zh-CN" w:bidi="ar"/>
              </w:rPr>
              <w:t>——</w:t>
            </w:r>
          </w:p>
        </w:tc>
      </w:tr>
      <w:tr w14:paraId="04619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71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94E368">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530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CDBD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E213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934B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9A6DB">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lang w:val="en-US" w:eastAsia="zh-CN" w:bidi="ar"/>
              </w:rPr>
              <w:t>——</w:t>
            </w:r>
          </w:p>
        </w:tc>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9271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8C626">
            <w:pPr>
              <w:keepNext w:val="0"/>
              <w:keepLines w:val="0"/>
              <w:widowControl/>
              <w:suppressLineNumbers w:val="0"/>
              <w:jc w:val="center"/>
              <w:textAlignment w:val="center"/>
              <w:rPr>
                <w:rFonts w:hint="default" w:ascii="Arial" w:hAnsi="Arial" w:eastAsia="宋体" w:cs="Arial"/>
                <w:i w:val="0"/>
                <w:iCs w:val="0"/>
                <w:color w:val="222222"/>
                <w:sz w:val="19"/>
                <w:szCs w:val="19"/>
                <w:u w:val="none"/>
              </w:rPr>
            </w:pPr>
            <w:r>
              <w:rPr>
                <w:rFonts w:hint="default" w:ascii="Arial" w:hAnsi="Arial" w:eastAsia="宋体" w:cs="Arial"/>
                <w:i w:val="0"/>
                <w:iCs w:val="0"/>
                <w:color w:val="222222"/>
                <w:kern w:val="0"/>
                <w:sz w:val="19"/>
                <w:szCs w:val="19"/>
                <w:u w:val="none"/>
                <w:lang w:val="en-US" w:eastAsia="zh-CN" w:bidi="ar"/>
              </w:rPr>
              <w:t>——</w:t>
            </w:r>
          </w:p>
        </w:tc>
      </w:tr>
      <w:tr w14:paraId="5EE2F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71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4231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年度总体目标</w:t>
            </w:r>
          </w:p>
        </w:tc>
        <w:tc>
          <w:tcPr>
            <w:tcW w:w="427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02685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427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2F091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5765C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171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DF999">
            <w:pPr>
              <w:jc w:val="center"/>
              <w:rPr>
                <w:rFonts w:hint="eastAsia" w:ascii="宋体" w:hAnsi="宋体" w:eastAsia="宋体" w:cs="宋体"/>
                <w:i w:val="0"/>
                <w:iCs w:val="0"/>
                <w:color w:val="000000"/>
                <w:sz w:val="18"/>
                <w:szCs w:val="18"/>
                <w:u w:val="none"/>
              </w:rPr>
            </w:pPr>
          </w:p>
        </w:tc>
        <w:tc>
          <w:tcPr>
            <w:tcW w:w="427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DB80F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保障单位日常运转，提高预算编制质量，严格执行预算</w:t>
            </w:r>
          </w:p>
        </w:tc>
        <w:tc>
          <w:tcPr>
            <w:tcW w:w="427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D0363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河西街道郑家沟水毁设施修复项目2024年项目已完工验收，达到了预期的修复目地。修复工程按时完工，质量达标，成本控制在预算范围内，修复后的设施显著改善了村民的生活条件，得到了广泛的认可。</w:t>
            </w:r>
          </w:p>
        </w:tc>
      </w:tr>
      <w:tr w14:paraId="1FDE0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D45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B17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944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D01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三级指标</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AB1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指标性质</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4CE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指标方向</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648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年度指标值</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F52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实际完成值</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A95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937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C93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EDBD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偏差原因分析及改进措施</w:t>
            </w:r>
          </w:p>
        </w:tc>
      </w:tr>
      <w:tr w14:paraId="7404B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55" w:type="dxa"/>
            <w:vMerge w:val="restart"/>
            <w:tcBorders>
              <w:top w:val="single" w:color="000000" w:sz="4" w:space="0"/>
              <w:left w:val="single" w:color="000000" w:sz="4" w:space="0"/>
              <w:bottom w:val="nil"/>
              <w:right w:val="single" w:color="000000" w:sz="4" w:space="0"/>
            </w:tcBorders>
            <w:shd w:val="clear" w:color="auto" w:fill="auto"/>
            <w:vAlign w:val="center"/>
          </w:tcPr>
          <w:p w14:paraId="639706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855" w:type="dxa"/>
            <w:vMerge w:val="restart"/>
            <w:tcBorders>
              <w:top w:val="single" w:color="000000" w:sz="4" w:space="0"/>
              <w:left w:val="single" w:color="000000" w:sz="4" w:space="0"/>
              <w:bottom w:val="nil"/>
              <w:right w:val="single" w:color="000000" w:sz="4" w:space="0"/>
            </w:tcBorders>
            <w:shd w:val="clear" w:color="auto" w:fill="auto"/>
            <w:vAlign w:val="center"/>
          </w:tcPr>
          <w:p w14:paraId="591C49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855" w:type="dxa"/>
            <w:vMerge w:val="restart"/>
            <w:tcBorders>
              <w:top w:val="single" w:color="000000" w:sz="4" w:space="0"/>
              <w:left w:val="single" w:color="000000" w:sz="4" w:space="0"/>
              <w:bottom w:val="nil"/>
              <w:right w:val="single" w:color="000000" w:sz="4" w:space="0"/>
            </w:tcBorders>
            <w:shd w:val="clear" w:color="auto" w:fill="auto"/>
            <w:vAlign w:val="center"/>
          </w:tcPr>
          <w:p w14:paraId="33CA61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29B8E6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全程公里数</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4AA2B8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21ADD1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大于等于</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448829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5BC8FE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5F6434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公里</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1196FE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5A702C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1606C2AA">
            <w:pPr>
              <w:jc w:val="center"/>
              <w:rPr>
                <w:rFonts w:hint="eastAsia" w:ascii="宋体" w:hAnsi="宋体" w:eastAsia="宋体" w:cs="宋体"/>
                <w:i w:val="0"/>
                <w:iCs w:val="0"/>
                <w:color w:val="000000"/>
                <w:sz w:val="18"/>
                <w:szCs w:val="18"/>
                <w:u w:val="none"/>
              </w:rPr>
            </w:pPr>
          </w:p>
        </w:tc>
      </w:tr>
      <w:tr w14:paraId="061E4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6E560409">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464EEF10">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52E3736A">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color="auto" w:fill="auto"/>
            <w:vAlign w:val="center"/>
          </w:tcPr>
          <w:p w14:paraId="6DA815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河床宽度</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6597EE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47F001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大于等于</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396B81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501874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463312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米</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7862E3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2710C1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18A5A982">
            <w:pPr>
              <w:jc w:val="center"/>
              <w:rPr>
                <w:rFonts w:hint="eastAsia" w:ascii="宋体" w:hAnsi="宋体" w:eastAsia="宋体" w:cs="宋体"/>
                <w:i w:val="0"/>
                <w:iCs w:val="0"/>
                <w:color w:val="000000"/>
                <w:sz w:val="18"/>
                <w:szCs w:val="18"/>
                <w:u w:val="none"/>
              </w:rPr>
            </w:pPr>
          </w:p>
        </w:tc>
      </w:tr>
      <w:tr w14:paraId="598C2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2EC12A41">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1A64B2E4">
            <w:pPr>
              <w:jc w:val="center"/>
              <w:rPr>
                <w:rFonts w:hint="eastAsia" w:ascii="宋体" w:hAnsi="宋体" w:eastAsia="宋体" w:cs="宋体"/>
                <w:i w:val="0"/>
                <w:iCs w:val="0"/>
                <w:color w:val="000000"/>
                <w:sz w:val="18"/>
                <w:szCs w:val="18"/>
                <w:u w:val="none"/>
              </w:rPr>
            </w:pPr>
          </w:p>
        </w:tc>
        <w:tc>
          <w:tcPr>
            <w:tcW w:w="855" w:type="dxa"/>
            <w:vMerge w:val="restart"/>
            <w:tcBorders>
              <w:top w:val="single" w:color="000000" w:sz="4" w:space="0"/>
              <w:left w:val="single" w:color="000000" w:sz="4" w:space="0"/>
              <w:bottom w:val="nil"/>
              <w:right w:val="single" w:color="000000" w:sz="4" w:space="0"/>
            </w:tcBorders>
            <w:shd w:val="clear" w:color="auto" w:fill="auto"/>
            <w:vAlign w:val="center"/>
          </w:tcPr>
          <w:p w14:paraId="28D5AE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119978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工程质量合格</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0FDD2A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定性</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29081549">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color="auto" w:fill="auto"/>
            <w:vAlign w:val="center"/>
          </w:tcPr>
          <w:p w14:paraId="3E5945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是</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00DF9C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1D6C495E">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color="auto" w:fill="auto"/>
            <w:vAlign w:val="center"/>
          </w:tcPr>
          <w:p w14:paraId="41950C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79C3AA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00257AD9">
            <w:pPr>
              <w:jc w:val="center"/>
              <w:rPr>
                <w:rFonts w:hint="eastAsia" w:ascii="宋体" w:hAnsi="宋体" w:eastAsia="宋体" w:cs="宋体"/>
                <w:i w:val="0"/>
                <w:iCs w:val="0"/>
                <w:color w:val="000000"/>
                <w:sz w:val="18"/>
                <w:szCs w:val="18"/>
                <w:u w:val="none"/>
              </w:rPr>
            </w:pPr>
          </w:p>
        </w:tc>
      </w:tr>
      <w:tr w14:paraId="1DF37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6A8AD5C6">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35A115D6">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1116E7F2">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color="auto" w:fill="auto"/>
            <w:vAlign w:val="center"/>
          </w:tcPr>
          <w:p w14:paraId="594781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河床深度</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0AC630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4AF943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大于等于</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1FB4D1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6DBD9D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2FDF54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米</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4AECA5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0675AF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447C15EB">
            <w:pPr>
              <w:jc w:val="center"/>
              <w:rPr>
                <w:rFonts w:hint="eastAsia" w:ascii="宋体" w:hAnsi="宋体" w:eastAsia="宋体" w:cs="宋体"/>
                <w:i w:val="0"/>
                <w:iCs w:val="0"/>
                <w:color w:val="000000"/>
                <w:sz w:val="18"/>
                <w:szCs w:val="18"/>
                <w:u w:val="none"/>
              </w:rPr>
            </w:pPr>
          </w:p>
        </w:tc>
      </w:tr>
      <w:tr w14:paraId="4184B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6E3C30B2">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7AC1F0F6">
            <w:pPr>
              <w:jc w:val="center"/>
              <w:rPr>
                <w:rFonts w:hint="eastAsia" w:ascii="宋体" w:hAnsi="宋体" w:eastAsia="宋体" w:cs="宋体"/>
                <w:i w:val="0"/>
                <w:iCs w:val="0"/>
                <w:color w:val="000000"/>
                <w:sz w:val="18"/>
                <w:szCs w:val="18"/>
                <w:u w:val="none"/>
              </w:rPr>
            </w:pPr>
          </w:p>
        </w:tc>
        <w:tc>
          <w:tcPr>
            <w:tcW w:w="855" w:type="dxa"/>
            <w:vMerge w:val="restart"/>
            <w:tcBorders>
              <w:top w:val="single" w:color="000000" w:sz="4" w:space="0"/>
              <w:left w:val="single" w:color="000000" w:sz="4" w:space="0"/>
              <w:bottom w:val="nil"/>
              <w:right w:val="single" w:color="000000" w:sz="4" w:space="0"/>
            </w:tcBorders>
            <w:shd w:val="clear" w:color="auto" w:fill="auto"/>
            <w:vAlign w:val="center"/>
          </w:tcPr>
          <w:p w14:paraId="624560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68F016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按期完工</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7A4C37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定性</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06A4E88B">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color="auto" w:fill="auto"/>
            <w:vAlign w:val="center"/>
          </w:tcPr>
          <w:p w14:paraId="2B6479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是</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17955F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326C0DD8">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color="auto" w:fill="auto"/>
            <w:vAlign w:val="center"/>
          </w:tcPr>
          <w:p w14:paraId="14A33B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0FA6A7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742BE6ED">
            <w:pPr>
              <w:jc w:val="center"/>
              <w:rPr>
                <w:rFonts w:hint="eastAsia" w:ascii="宋体" w:hAnsi="宋体" w:eastAsia="宋体" w:cs="宋体"/>
                <w:i w:val="0"/>
                <w:iCs w:val="0"/>
                <w:color w:val="000000"/>
                <w:sz w:val="18"/>
                <w:szCs w:val="18"/>
                <w:u w:val="none"/>
              </w:rPr>
            </w:pPr>
          </w:p>
        </w:tc>
      </w:tr>
      <w:tr w14:paraId="5F110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3D761F1C">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064987A8">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68BF35C9">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color="auto" w:fill="auto"/>
            <w:vAlign w:val="center"/>
          </w:tcPr>
          <w:p w14:paraId="53D4C2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及时拨款</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44C9A5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定性</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24D21920">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color="auto" w:fill="auto"/>
            <w:vAlign w:val="center"/>
          </w:tcPr>
          <w:p w14:paraId="473D7D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是</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7506AF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5736B83D">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color="auto" w:fill="auto"/>
            <w:vAlign w:val="center"/>
          </w:tcPr>
          <w:p w14:paraId="20BEB3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0AE2F8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6F17B19C">
            <w:pPr>
              <w:jc w:val="center"/>
              <w:rPr>
                <w:rFonts w:hint="eastAsia" w:ascii="宋体" w:hAnsi="宋体" w:eastAsia="宋体" w:cs="宋体"/>
                <w:i w:val="0"/>
                <w:iCs w:val="0"/>
                <w:color w:val="000000"/>
                <w:sz w:val="18"/>
                <w:szCs w:val="18"/>
                <w:u w:val="none"/>
              </w:rPr>
            </w:pPr>
          </w:p>
        </w:tc>
      </w:tr>
      <w:tr w14:paraId="08F02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2167534D">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6957D8DB">
            <w:pPr>
              <w:jc w:val="center"/>
              <w:rPr>
                <w:rFonts w:hint="eastAsia" w:ascii="宋体" w:hAnsi="宋体" w:eastAsia="宋体" w:cs="宋体"/>
                <w:i w:val="0"/>
                <w:iCs w:val="0"/>
                <w:color w:val="000000"/>
                <w:sz w:val="18"/>
                <w:szCs w:val="18"/>
                <w:u w:val="none"/>
              </w:rPr>
            </w:pPr>
          </w:p>
        </w:tc>
        <w:tc>
          <w:tcPr>
            <w:tcW w:w="855" w:type="dxa"/>
            <w:vMerge w:val="restart"/>
            <w:tcBorders>
              <w:top w:val="single" w:color="000000" w:sz="4" w:space="0"/>
              <w:left w:val="single" w:color="000000" w:sz="4" w:space="0"/>
              <w:bottom w:val="nil"/>
              <w:right w:val="single" w:color="000000" w:sz="4" w:space="0"/>
            </w:tcBorders>
            <w:shd w:val="clear" w:color="auto" w:fill="auto"/>
            <w:vAlign w:val="center"/>
          </w:tcPr>
          <w:p w14:paraId="2E2E51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048539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合同金额</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684914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反向</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58AD3B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小于等于</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2DF2D9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9.9</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2D98ED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4C88E7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万</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074273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1AFD28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17CDA8AA">
            <w:pPr>
              <w:jc w:val="center"/>
              <w:rPr>
                <w:rFonts w:hint="eastAsia" w:ascii="宋体" w:hAnsi="宋体" w:eastAsia="宋体" w:cs="宋体"/>
                <w:i w:val="0"/>
                <w:iCs w:val="0"/>
                <w:color w:val="000000"/>
                <w:sz w:val="18"/>
                <w:szCs w:val="18"/>
                <w:u w:val="none"/>
              </w:rPr>
            </w:pPr>
          </w:p>
        </w:tc>
      </w:tr>
      <w:tr w14:paraId="13478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6B56DDAC">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758C924B">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59B1F7B9">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color="auto" w:fill="auto"/>
            <w:vAlign w:val="center"/>
          </w:tcPr>
          <w:p w14:paraId="4CEB8F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合同价款</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70FBA2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反向</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22B68F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小于等于</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63F440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9.9</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5D5587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6A1B8C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万</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2A743F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614217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43E1711F">
            <w:pPr>
              <w:jc w:val="center"/>
              <w:rPr>
                <w:rFonts w:hint="eastAsia" w:ascii="宋体" w:hAnsi="宋体" w:eastAsia="宋体" w:cs="宋体"/>
                <w:i w:val="0"/>
                <w:iCs w:val="0"/>
                <w:color w:val="000000"/>
                <w:sz w:val="18"/>
                <w:szCs w:val="18"/>
                <w:u w:val="none"/>
              </w:rPr>
            </w:pPr>
          </w:p>
        </w:tc>
      </w:tr>
      <w:tr w14:paraId="602C4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2A6828D1">
            <w:pPr>
              <w:jc w:val="center"/>
              <w:rPr>
                <w:rFonts w:hint="eastAsia" w:ascii="宋体" w:hAnsi="宋体" w:eastAsia="宋体" w:cs="宋体"/>
                <w:i w:val="0"/>
                <w:iCs w:val="0"/>
                <w:color w:val="000000"/>
                <w:sz w:val="18"/>
                <w:szCs w:val="18"/>
                <w:u w:val="none"/>
              </w:rPr>
            </w:pPr>
          </w:p>
        </w:tc>
        <w:tc>
          <w:tcPr>
            <w:tcW w:w="855" w:type="dxa"/>
            <w:vMerge w:val="restart"/>
            <w:tcBorders>
              <w:top w:val="single" w:color="000000" w:sz="4" w:space="0"/>
              <w:left w:val="single" w:color="000000" w:sz="4" w:space="0"/>
              <w:bottom w:val="nil"/>
              <w:right w:val="single" w:color="000000" w:sz="4" w:space="0"/>
            </w:tcBorders>
            <w:shd w:val="clear" w:color="auto" w:fill="auto"/>
            <w:vAlign w:val="center"/>
          </w:tcPr>
          <w:p w14:paraId="0BF02F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4E7D6D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6600A5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增加农民收入</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74B22C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78BE6F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大于等于</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04407B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6D7BB5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37544B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万</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2BBF07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10FE8E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148E1988">
            <w:pPr>
              <w:jc w:val="center"/>
              <w:rPr>
                <w:rFonts w:hint="eastAsia" w:ascii="宋体" w:hAnsi="宋体" w:eastAsia="宋体" w:cs="宋体"/>
                <w:i w:val="0"/>
                <w:iCs w:val="0"/>
                <w:color w:val="000000"/>
                <w:sz w:val="18"/>
                <w:szCs w:val="18"/>
                <w:u w:val="none"/>
              </w:rPr>
            </w:pPr>
          </w:p>
        </w:tc>
      </w:tr>
      <w:tr w14:paraId="2D6EC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76504D5C">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4C82BA4E">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color="auto" w:fill="auto"/>
            <w:vAlign w:val="center"/>
          </w:tcPr>
          <w:p w14:paraId="1D8913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3EA1B4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保障村民出行以及农田安全</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37856D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定性</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060FAA93">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color="auto" w:fill="auto"/>
            <w:vAlign w:val="center"/>
          </w:tcPr>
          <w:p w14:paraId="2360B9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是</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5FFF43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37B3EEF7">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color="auto" w:fill="auto"/>
            <w:vAlign w:val="center"/>
          </w:tcPr>
          <w:p w14:paraId="3DD3D9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591D42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649A2949">
            <w:pPr>
              <w:jc w:val="center"/>
              <w:rPr>
                <w:rFonts w:hint="eastAsia" w:ascii="宋体" w:hAnsi="宋体" w:eastAsia="宋体" w:cs="宋体"/>
                <w:i w:val="0"/>
                <w:iCs w:val="0"/>
                <w:color w:val="000000"/>
                <w:sz w:val="18"/>
                <w:szCs w:val="18"/>
                <w:u w:val="none"/>
              </w:rPr>
            </w:pPr>
          </w:p>
        </w:tc>
      </w:tr>
      <w:tr w14:paraId="59912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6D262AFA">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01F56091">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color="auto" w:fill="auto"/>
            <w:vAlign w:val="center"/>
          </w:tcPr>
          <w:p w14:paraId="7A0077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1C26B0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村民出行以及农田安全</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6CF5C7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定性</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6473E15B">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color="auto" w:fill="auto"/>
            <w:vAlign w:val="center"/>
          </w:tcPr>
          <w:p w14:paraId="461727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是</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62D5D4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41F38AD2">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color="auto" w:fill="auto"/>
            <w:vAlign w:val="center"/>
          </w:tcPr>
          <w:p w14:paraId="50910E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10063C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32A0B0E0">
            <w:pPr>
              <w:jc w:val="center"/>
              <w:rPr>
                <w:rFonts w:hint="eastAsia" w:ascii="宋体" w:hAnsi="宋体" w:eastAsia="宋体" w:cs="宋体"/>
                <w:i w:val="0"/>
                <w:iCs w:val="0"/>
                <w:color w:val="000000"/>
                <w:sz w:val="18"/>
                <w:szCs w:val="18"/>
                <w:u w:val="none"/>
              </w:rPr>
            </w:pPr>
          </w:p>
        </w:tc>
      </w:tr>
      <w:tr w14:paraId="7679F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56B5F496">
            <w:pPr>
              <w:jc w:val="center"/>
              <w:rPr>
                <w:rFonts w:hint="eastAsia" w:ascii="宋体" w:hAnsi="宋体" w:eastAsia="宋体" w:cs="宋体"/>
                <w:i w:val="0"/>
                <w:iCs w:val="0"/>
                <w:color w:val="000000"/>
                <w:sz w:val="18"/>
                <w:szCs w:val="18"/>
                <w:u w:val="none"/>
              </w:rPr>
            </w:pPr>
          </w:p>
        </w:tc>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2A1B5B88">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color="auto" w:fill="auto"/>
            <w:vAlign w:val="center"/>
          </w:tcPr>
          <w:p w14:paraId="19E69E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可持续影响指标</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0C73C7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村民出行以及农田不受水害</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6E9F4E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定性</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5FBE33BA">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color="auto" w:fill="auto"/>
            <w:vAlign w:val="center"/>
          </w:tcPr>
          <w:p w14:paraId="15CA85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是</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19B664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37C0DE2C">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color="auto" w:fill="auto"/>
            <w:vAlign w:val="center"/>
          </w:tcPr>
          <w:p w14:paraId="226072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4C7188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4F1D665A">
            <w:pPr>
              <w:jc w:val="center"/>
              <w:rPr>
                <w:rFonts w:hint="eastAsia" w:ascii="宋体" w:hAnsi="宋体" w:eastAsia="宋体" w:cs="宋体"/>
                <w:i w:val="0"/>
                <w:iCs w:val="0"/>
                <w:color w:val="000000"/>
                <w:sz w:val="18"/>
                <w:szCs w:val="18"/>
                <w:u w:val="none"/>
              </w:rPr>
            </w:pPr>
          </w:p>
        </w:tc>
      </w:tr>
      <w:tr w14:paraId="2F84D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55" w:type="dxa"/>
            <w:vMerge w:val="continue"/>
            <w:tcBorders>
              <w:top w:val="single" w:color="000000" w:sz="4" w:space="0"/>
              <w:left w:val="single" w:color="000000" w:sz="4" w:space="0"/>
              <w:bottom w:val="nil"/>
              <w:right w:val="single" w:color="000000" w:sz="4" w:space="0"/>
            </w:tcBorders>
            <w:shd w:val="clear" w:color="auto" w:fill="auto"/>
            <w:vAlign w:val="center"/>
          </w:tcPr>
          <w:p w14:paraId="5B777414">
            <w:pPr>
              <w:jc w:val="center"/>
              <w:rPr>
                <w:rFonts w:hint="eastAsia" w:ascii="宋体" w:hAnsi="宋体" w:eastAsia="宋体" w:cs="宋体"/>
                <w:i w:val="0"/>
                <w:iCs w:val="0"/>
                <w:color w:val="000000"/>
                <w:sz w:val="18"/>
                <w:szCs w:val="18"/>
                <w:u w:val="none"/>
              </w:rPr>
            </w:pPr>
          </w:p>
        </w:tc>
        <w:tc>
          <w:tcPr>
            <w:tcW w:w="855" w:type="dxa"/>
            <w:tcBorders>
              <w:top w:val="single" w:color="000000" w:sz="4" w:space="0"/>
              <w:left w:val="single" w:color="000000" w:sz="4" w:space="0"/>
              <w:bottom w:val="nil"/>
              <w:right w:val="single" w:color="000000" w:sz="4" w:space="0"/>
            </w:tcBorders>
            <w:shd w:val="clear" w:color="auto" w:fill="auto"/>
            <w:vAlign w:val="center"/>
          </w:tcPr>
          <w:p w14:paraId="1102D4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247BD0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服务对象满意度指标</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76EF6C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村民满意度</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12FC0A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7AB6D7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大于等于</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1345BC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03A28B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3C71F5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百分比</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15F6FE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3CE203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55" w:type="dxa"/>
            <w:tcBorders>
              <w:top w:val="single" w:color="000000" w:sz="4" w:space="0"/>
              <w:left w:val="single" w:color="000000" w:sz="4" w:space="0"/>
              <w:bottom w:val="nil"/>
              <w:right w:val="single" w:color="000000" w:sz="4" w:space="0"/>
            </w:tcBorders>
            <w:shd w:val="clear" w:color="auto" w:fill="auto"/>
            <w:vAlign w:val="center"/>
          </w:tcPr>
          <w:p w14:paraId="2CFEE67F">
            <w:pPr>
              <w:jc w:val="center"/>
              <w:rPr>
                <w:rFonts w:hint="eastAsia" w:ascii="宋体" w:hAnsi="宋体" w:eastAsia="宋体" w:cs="宋体"/>
                <w:i w:val="0"/>
                <w:iCs w:val="0"/>
                <w:color w:val="000000"/>
                <w:sz w:val="18"/>
                <w:szCs w:val="18"/>
                <w:u w:val="none"/>
              </w:rPr>
            </w:pPr>
          </w:p>
        </w:tc>
      </w:tr>
      <w:tr w14:paraId="151C7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69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4766E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6CE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F63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93.00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17927">
            <w:pPr>
              <w:jc w:val="center"/>
              <w:rPr>
                <w:rFonts w:hint="eastAsia" w:ascii="宋体" w:hAnsi="宋体" w:eastAsia="宋体" w:cs="宋体"/>
                <w:i w:val="0"/>
                <w:iCs w:val="0"/>
                <w:color w:val="000000"/>
                <w:sz w:val="18"/>
                <w:szCs w:val="18"/>
                <w:u w:val="none"/>
              </w:rPr>
            </w:pPr>
          </w:p>
        </w:tc>
      </w:tr>
    </w:tbl>
    <w:p w14:paraId="4214B832">
      <w:pPr>
        <w:keepNext w:val="0"/>
        <w:keepLines w:val="0"/>
        <w:pageBreakBefore w:val="0"/>
        <w:widowControl w:val="0"/>
        <w:numPr>
          <w:ilvl w:val="0"/>
          <w:numId w:val="0"/>
        </w:numPr>
        <w:kinsoku/>
        <w:wordWrap/>
        <w:overflowPunct/>
        <w:topLinePunct/>
        <w:autoSpaceDE/>
        <w:autoSpaceDN/>
        <w:bidi w:val="0"/>
        <w:adjustRightInd/>
        <w:snapToGrid/>
        <w:spacing w:line="520" w:lineRule="exact"/>
        <w:ind w:leftChars="200" w:right="0" w:rightChars="0"/>
        <w:jc w:val="both"/>
        <w:textAlignment w:val="auto"/>
        <w:outlineLvl w:val="9"/>
        <w:rPr>
          <w:rFonts w:hint="eastAsia" w:ascii="仿宋" w:hAnsi="仿宋" w:eastAsia="仿宋" w:cs="仿宋"/>
          <w:kern w:val="2"/>
          <w:sz w:val="32"/>
          <w:szCs w:val="32"/>
        </w:rPr>
      </w:pPr>
    </w:p>
    <w:p w14:paraId="124E42D8">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color w:val="1200FF"/>
          <w:kern w:val="0"/>
          <w:sz w:val="27"/>
          <w:szCs w:val="27"/>
        </w:rPr>
        <w:t xml:space="preserve">  </w:t>
      </w:r>
      <w:r>
        <w:rPr>
          <w:rFonts w:ascii="仿宋_GB2312" w:hAnsi="仿宋_GB2312" w:eastAsia="仿宋_GB2312" w:cs="仿宋_GB2312"/>
          <w:color w:val="000000"/>
          <w:kern w:val="0"/>
          <w:sz w:val="27"/>
          <w:szCs w:val="27"/>
        </w:rPr>
        <w:t> </w:t>
      </w:r>
    </w:p>
    <w:p w14:paraId="363129F6">
      <w:pPr>
        <w:widowControl/>
        <w:spacing w:before="240" w:after="240"/>
        <w:jc w:val="left"/>
        <w:rPr>
          <w:rFonts w:hint="eastAsia" w:ascii="仿宋_GB2312" w:hAnsi="仿宋_GB2312" w:eastAsia="仿宋_GB2312" w:cs="仿宋_GB2312"/>
          <w:kern w:val="0"/>
          <w:sz w:val="32"/>
          <w:szCs w:val="32"/>
        </w:rPr>
      </w:pPr>
      <w:r>
        <w:rPr>
          <w:rFonts w:ascii="kai_ti_gb2312" w:hAnsi="kai_ti_gb2312" w:eastAsia="kai_ti_gb2312" w:cs="kai_ti_gb2312"/>
          <w:b/>
          <w:bCs/>
          <w:kern w:val="0"/>
          <w:sz w:val="27"/>
          <w:szCs w:val="27"/>
        </w:rPr>
        <w:t xml:space="preserve">  </w:t>
      </w:r>
      <w:r>
        <w:rPr>
          <w:rFonts w:hint="eastAsia" w:ascii="仿宋_GB2312" w:hAnsi="仿宋_GB2312" w:eastAsia="仿宋_GB2312" w:cs="仿宋_GB2312"/>
          <w:b/>
          <w:bCs/>
          <w:kern w:val="0"/>
          <w:sz w:val="32"/>
          <w:szCs w:val="32"/>
        </w:rPr>
        <w:t>  （三）部门项目绩效评价结果。</w:t>
      </w:r>
    </w:p>
    <w:p w14:paraId="1E950A67">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以</w:t>
      </w:r>
      <w:r>
        <w:rPr>
          <w:rFonts w:hint="eastAsia" w:ascii="仿宋_GB2312" w:hAnsi="仿宋_GB2312" w:eastAsia="仿宋_GB2312" w:cs="仿宋_GB2312"/>
          <w:kern w:val="0"/>
          <w:sz w:val="32"/>
          <w:szCs w:val="32"/>
          <w:lang w:eastAsia="zh-CN"/>
        </w:rPr>
        <w:t>社区党组织服务群众</w:t>
      </w:r>
      <w:r>
        <w:rPr>
          <w:rFonts w:hint="eastAsia" w:ascii="仿宋_GB2312" w:hAnsi="仿宋_GB2312" w:eastAsia="仿宋_GB2312" w:cs="仿宋_GB2312"/>
          <w:kern w:val="0"/>
          <w:sz w:val="32"/>
          <w:szCs w:val="32"/>
        </w:rPr>
        <w:t>项目为例，该项目绩效评价综合得分为</w:t>
      </w:r>
      <w:r>
        <w:rPr>
          <w:rFonts w:hint="eastAsia" w:ascii="仿宋_GB2312" w:hAnsi="仿宋_GB2312" w:eastAsia="仿宋_GB2312" w:cs="仿宋_GB2312"/>
          <w:kern w:val="0"/>
          <w:sz w:val="32"/>
          <w:szCs w:val="32"/>
          <w:u w:val="single"/>
          <w:lang w:val="en-US" w:eastAsia="zh-CN"/>
        </w:rPr>
        <w:t>100</w:t>
      </w:r>
      <w:r>
        <w:rPr>
          <w:rFonts w:hint="eastAsia" w:ascii="仿宋_GB2312" w:hAnsi="仿宋_GB2312" w:eastAsia="仿宋_GB2312" w:cs="仿宋_GB2312"/>
          <w:kern w:val="0"/>
          <w:sz w:val="32"/>
          <w:szCs w:val="32"/>
        </w:rPr>
        <w:t>分，绩效评价结果为“优”。部门项目绩效评价得分情况详见部门（单位）具体绩效评价结果。</w:t>
      </w:r>
    </w:p>
    <w:p w14:paraId="30B3C951">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color w:val="0E00FE"/>
          <w:kern w:val="0"/>
          <w:sz w:val="32"/>
          <w:szCs w:val="32"/>
        </w:rPr>
        <w:t> </w:t>
      </w:r>
    </w:p>
    <w:p w14:paraId="33E04113">
      <w:pPr>
        <w:pStyle w:val="3"/>
        <w:keepNext w:val="0"/>
        <w:keepLines w:val="0"/>
        <w:widowControl/>
        <w:spacing w:before="299" w:after="299" w:line="240" w:lineRule="auto"/>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kern w:val="0"/>
          <w:sz w:val="32"/>
          <w:szCs w:val="32"/>
        </w:rPr>
        <w:t>第三部分 名词解释</w:t>
      </w:r>
    </w:p>
    <w:p w14:paraId="1E5D5D85">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    一、财政拨款收入：</w:t>
      </w:r>
      <w:r>
        <w:rPr>
          <w:rFonts w:hint="eastAsia" w:ascii="仿宋_GB2312" w:hAnsi="仿宋_GB2312" w:eastAsia="仿宋_GB2312" w:cs="仿宋_GB2312"/>
          <w:kern w:val="0"/>
          <w:sz w:val="32"/>
          <w:szCs w:val="32"/>
        </w:rPr>
        <w:t>从同级财政部门取得的各类财政拨款，包括一般公共预算财政拨款、政府性基金预算财政拨款、国有资本经营预算财政拨款。</w:t>
      </w:r>
    </w:p>
    <w:p w14:paraId="05749374">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    二、上级补助收入：</w:t>
      </w:r>
      <w:r>
        <w:rPr>
          <w:rFonts w:hint="eastAsia" w:ascii="仿宋_GB2312" w:hAnsi="仿宋_GB2312" w:eastAsia="仿宋_GB2312" w:cs="仿宋_GB2312"/>
          <w:kern w:val="0"/>
          <w:sz w:val="32"/>
          <w:szCs w:val="32"/>
        </w:rPr>
        <w:t>指事业单位从主管部门和上级单位取得的非财政补助收入。</w:t>
      </w:r>
    </w:p>
    <w:p w14:paraId="39A30311">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    三、财政专户管理教育收费：</w:t>
      </w:r>
      <w:r>
        <w:rPr>
          <w:rFonts w:hint="eastAsia" w:ascii="仿宋_GB2312" w:hAnsi="仿宋_GB2312" w:eastAsia="仿宋_GB2312" w:cs="仿宋_GB2312"/>
          <w:kern w:val="0"/>
          <w:sz w:val="32"/>
          <w:szCs w:val="32"/>
        </w:rPr>
        <w:t>指缴入财政专户、实行专项管理的高中以上学费、住宿费、高校委托培养费、函大、电大、夜大及短训班培训费等教育收费。</w:t>
      </w:r>
    </w:p>
    <w:p w14:paraId="14D9186D">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    四、事业收入：</w:t>
      </w:r>
      <w:r>
        <w:rPr>
          <w:rFonts w:hint="eastAsia" w:ascii="仿宋_GB2312" w:hAnsi="仿宋_GB2312" w:eastAsia="仿宋_GB2312" w:cs="仿宋_GB2312"/>
          <w:kern w:val="0"/>
          <w:sz w:val="32"/>
          <w:szCs w:val="32"/>
        </w:rPr>
        <w:t>指事业单位开展专业业务活动及其辅助活动取得的收入。</w:t>
      </w:r>
    </w:p>
    <w:p w14:paraId="48F20787">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    五、经营收入：</w:t>
      </w:r>
      <w:r>
        <w:rPr>
          <w:rFonts w:hint="eastAsia" w:ascii="仿宋_GB2312" w:hAnsi="仿宋_GB2312" w:eastAsia="仿宋_GB2312" w:cs="仿宋_GB2312"/>
          <w:kern w:val="0"/>
          <w:sz w:val="32"/>
          <w:szCs w:val="32"/>
        </w:rPr>
        <w:t>指事业单位在专业业务活动及其辅助活动之外开展非独立核算经营活动取得的收入。</w:t>
      </w:r>
    </w:p>
    <w:p w14:paraId="08A98AC8">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    六、附属单位上缴收入：</w:t>
      </w:r>
      <w:r>
        <w:rPr>
          <w:rFonts w:hint="eastAsia" w:ascii="仿宋_GB2312" w:hAnsi="仿宋_GB2312" w:eastAsia="仿宋_GB2312" w:cs="仿宋_GB2312"/>
          <w:kern w:val="0"/>
          <w:sz w:val="32"/>
          <w:szCs w:val="32"/>
        </w:rPr>
        <w:t>指事业单位取得附属独立核算单位按照有关规定上缴的收入。</w:t>
      </w:r>
    </w:p>
    <w:p w14:paraId="53C0344F">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    七、其他收入：</w:t>
      </w:r>
      <w:r>
        <w:rPr>
          <w:rFonts w:hint="eastAsia" w:ascii="仿宋_GB2312" w:hAnsi="仿宋_GB2312" w:eastAsia="仿宋_GB2312" w:cs="仿宋_GB2312"/>
          <w:kern w:val="0"/>
          <w:sz w:val="32"/>
          <w:szCs w:val="32"/>
        </w:rPr>
        <w:t>取得的除上述财政拨款收入、上级补助收入、事业收入、经营收入、附属单位上缴收入等以外的各项收入。</w:t>
      </w:r>
    </w:p>
    <w:p w14:paraId="7EE2B4C9">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    八、使用非财政拨款结余（含专用结余）：</w:t>
      </w:r>
      <w:r>
        <w:rPr>
          <w:rFonts w:hint="eastAsia" w:ascii="仿宋_GB2312" w:hAnsi="仿宋_GB2312" w:eastAsia="仿宋_GB2312" w:cs="仿宋_GB2312"/>
          <w:kern w:val="0"/>
          <w:sz w:val="32"/>
          <w:szCs w:val="32"/>
        </w:rPr>
        <w:t>指事业单位按照预算管理要求使用非财政拨款结余</w:t>
      </w:r>
      <w:r>
        <w:rPr>
          <w:rFonts w:hint="eastAsia" w:ascii="仿宋_GB2312" w:hAnsi="仿宋_GB2312" w:eastAsia="仿宋_GB2312" w:cs="仿宋_GB2312"/>
          <w:color w:val="000000"/>
          <w:kern w:val="0"/>
          <w:sz w:val="32"/>
          <w:szCs w:val="32"/>
        </w:rPr>
        <w:t>弥补收支差额的金额，以及使用专用结余安排支出的金额。</w:t>
      </w:r>
    </w:p>
    <w:p w14:paraId="4631AF64">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    九、年初结转和结余：</w:t>
      </w:r>
      <w:r>
        <w:rPr>
          <w:rFonts w:hint="eastAsia" w:ascii="仿宋_GB2312" w:hAnsi="仿宋_GB2312" w:eastAsia="仿宋_GB2312" w:cs="仿宋_GB2312"/>
          <w:kern w:val="0"/>
          <w:sz w:val="32"/>
          <w:szCs w:val="32"/>
        </w:rPr>
        <w:t>指单位上年结转本年使用的基本支出结转、项目支出结转和结余、经营结余。</w:t>
      </w:r>
    </w:p>
    <w:p w14:paraId="05D5033D">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    十、结余分配：</w:t>
      </w:r>
      <w:r>
        <w:rPr>
          <w:rFonts w:hint="eastAsia" w:ascii="仿宋_GB2312" w:hAnsi="仿宋_GB2312" w:eastAsia="仿宋_GB2312" w:cs="仿宋_GB2312"/>
          <w:kern w:val="0"/>
          <w:sz w:val="32"/>
          <w:szCs w:val="32"/>
        </w:rPr>
        <w:t>指单位按规定缴纳企业所得税以及从非财政拨款结余或经营结余中提取各类结余的情况。</w:t>
      </w:r>
    </w:p>
    <w:p w14:paraId="23E66685">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    十一、年末结转和结余资金：</w:t>
      </w:r>
      <w:r>
        <w:rPr>
          <w:rFonts w:hint="eastAsia" w:ascii="仿宋_GB2312" w:hAnsi="仿宋_GB2312" w:eastAsia="仿宋_GB2312" w:cs="仿宋_GB2312"/>
          <w:kern w:val="0"/>
          <w:sz w:val="32"/>
          <w:szCs w:val="32"/>
        </w:rPr>
        <w:t>指单位结转下年的基本支出结转、项目支出结转和结余、经营结余。</w:t>
      </w:r>
    </w:p>
    <w:p w14:paraId="4D872D48">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    十二、基本支出：</w:t>
      </w:r>
      <w:r>
        <w:rPr>
          <w:rFonts w:hint="eastAsia" w:ascii="仿宋_GB2312" w:hAnsi="仿宋_GB2312" w:eastAsia="仿宋_GB2312" w:cs="仿宋_GB2312"/>
          <w:kern w:val="0"/>
          <w:sz w:val="32"/>
          <w:szCs w:val="32"/>
        </w:rPr>
        <w:t>指为保障机构正常运转、完成日常工作任务所发生的支出，包括人员经费和公用经费。</w:t>
      </w:r>
    </w:p>
    <w:p w14:paraId="542766BB">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    十三、项目支出：</w:t>
      </w:r>
      <w:r>
        <w:rPr>
          <w:rFonts w:hint="eastAsia" w:ascii="仿宋_GB2312" w:hAnsi="仿宋_GB2312" w:eastAsia="仿宋_GB2312" w:cs="仿宋_GB2312"/>
          <w:kern w:val="0"/>
          <w:sz w:val="32"/>
          <w:szCs w:val="32"/>
        </w:rPr>
        <w:t>指在为完成特定的行政工作任务或事业发展目标所发生的支出。</w:t>
      </w:r>
    </w:p>
    <w:p w14:paraId="6B7F9C62">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    十四、上缴上级支出：</w:t>
      </w:r>
      <w:r>
        <w:rPr>
          <w:rFonts w:hint="eastAsia" w:ascii="仿宋_GB2312" w:hAnsi="仿宋_GB2312" w:eastAsia="仿宋_GB2312" w:cs="仿宋_GB2312"/>
          <w:kern w:val="0"/>
          <w:sz w:val="32"/>
          <w:szCs w:val="32"/>
        </w:rPr>
        <w:t>指事业单位按照财政部门和主管部门的规定上缴上级单位的支出。</w:t>
      </w:r>
    </w:p>
    <w:p w14:paraId="3665EF6F">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    十五、经营支出：</w:t>
      </w:r>
      <w:r>
        <w:rPr>
          <w:rFonts w:hint="eastAsia" w:ascii="仿宋_GB2312" w:hAnsi="仿宋_GB2312" w:eastAsia="仿宋_GB2312" w:cs="仿宋_GB2312"/>
          <w:kern w:val="0"/>
          <w:sz w:val="32"/>
          <w:szCs w:val="32"/>
        </w:rPr>
        <w:t>指事业单位在专业业务活动及其辅助活动之外开展非独立核算经营活动发生的支出。</w:t>
      </w:r>
    </w:p>
    <w:p w14:paraId="638D06B1">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    十六、对附属单位补助支出：</w:t>
      </w:r>
      <w:r>
        <w:rPr>
          <w:rFonts w:hint="eastAsia" w:ascii="仿宋_GB2312" w:hAnsi="仿宋_GB2312" w:eastAsia="仿宋_GB2312" w:cs="仿宋_GB2312"/>
          <w:kern w:val="0"/>
          <w:sz w:val="32"/>
          <w:szCs w:val="32"/>
        </w:rPr>
        <w:t>指事业单位用财政拨款收入之外的收入对附属单位补助发生的支出。</w:t>
      </w:r>
    </w:p>
    <w:p w14:paraId="539B3817">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    十七、“三公”经费：</w:t>
      </w:r>
      <w:r>
        <w:rPr>
          <w:rFonts w:hint="eastAsia" w:ascii="仿宋_GB2312" w:hAnsi="仿宋_GB2312" w:eastAsia="仿宋_GB2312" w:cs="仿宋_GB2312"/>
          <w:kern w:val="0"/>
          <w:sz w:val="32"/>
          <w:szCs w:val="32"/>
        </w:rPr>
        <w:t>指部门（单位）用财政拨款安排的因公出国（境）费、公务用车购置及运行维护费和公务接待费。其中，因公出国（境）费反映部门（单位）)公务出国（境）的国际旅费、国外城市间交通费、住宿费、伙食费、培训费、公杂费等支出；公务用车购置及运行维护费反映部门（单位）公务用车购置支出（含车辆购置税、牌照费）以及按规定保留的公务用车燃料费、维修费、过路过桥费、保险费、安全奖励费用等支出；公务接待费反映部门（单位）按规定开支的各类公务接待（含外宾接待）费用。</w:t>
      </w:r>
    </w:p>
    <w:p w14:paraId="0E22AD83">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    十八、机关运行经费：</w:t>
      </w:r>
      <w:r>
        <w:rPr>
          <w:rFonts w:hint="eastAsia" w:ascii="仿宋_GB2312" w:hAnsi="仿宋_GB2312" w:eastAsia="仿宋_GB2312" w:cs="仿宋_GB2312"/>
          <w:color w:val="000000"/>
          <w:kern w:val="0"/>
          <w:sz w:val="32"/>
          <w:szCs w:val="32"/>
        </w:rPr>
        <w:t>指行政单位和参照公务员法管理的事业单位财政拨款</w:t>
      </w:r>
      <w:r>
        <w:rPr>
          <w:rFonts w:hint="eastAsia" w:ascii="仿宋_GB2312" w:hAnsi="仿宋_GB2312" w:eastAsia="仿宋_GB2312" w:cs="仿宋_GB2312"/>
          <w:kern w:val="0"/>
          <w:sz w:val="32"/>
          <w:szCs w:val="32"/>
        </w:rPr>
        <w:t>基本支出中的公用经费支出，包括办公及印刷费、邮电费、差旅费、会议费、福利费、日常维修费、专用材料及一般设备购置费、办公用房水电费、办公用房取暖费、办公用房物业管理费、公务用车运行维护费及其他费用等。</w:t>
      </w:r>
    </w:p>
    <w:p w14:paraId="7FBCE2FC">
      <w:pPr>
        <w:pStyle w:val="3"/>
        <w:keepNext w:val="0"/>
        <w:keepLines w:val="0"/>
        <w:widowControl/>
        <w:spacing w:before="299" w:after="299" w:line="240" w:lineRule="auto"/>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第四部分 决算公开联系方式及信息反馈渠道</w:t>
      </w:r>
    </w:p>
    <w:p w14:paraId="7CEEFCC4">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本部门（单位）决算公开信息反馈和联系方式：</w:t>
      </w:r>
    </w:p>
    <w:p w14:paraId="3A393B35">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联系人：</w:t>
      </w:r>
      <w:r>
        <w:rPr>
          <w:rFonts w:hint="eastAsia" w:ascii="仿宋_GB2312" w:hAnsi="仿宋_GB2312" w:eastAsia="仿宋_GB2312" w:cs="仿宋_GB2312"/>
          <w:kern w:val="0"/>
          <w:sz w:val="32"/>
          <w:szCs w:val="32"/>
          <w:u w:val="single"/>
        </w:rPr>
        <w:t>刘晶 </w:t>
      </w:r>
      <w:r>
        <w:rPr>
          <w:rFonts w:hint="eastAsia" w:ascii="仿宋_GB2312" w:hAnsi="仿宋_GB2312" w:eastAsia="仿宋_GB2312" w:cs="仿宋_GB2312"/>
          <w:kern w:val="0"/>
          <w:sz w:val="32"/>
          <w:szCs w:val="32"/>
        </w:rPr>
        <w:t>          联系电话：</w:t>
      </w:r>
      <w:r>
        <w:rPr>
          <w:rFonts w:hint="eastAsia" w:ascii="仿宋_GB2312" w:hAnsi="仿宋_GB2312" w:eastAsia="仿宋_GB2312" w:cs="仿宋_GB2312"/>
          <w:kern w:val="0"/>
          <w:sz w:val="32"/>
          <w:szCs w:val="32"/>
          <w:u w:val="single"/>
        </w:rPr>
        <w:t>0470-3250042</w:t>
      </w:r>
    </w:p>
    <w:p w14:paraId="77D0770B">
      <w:pPr>
        <w:widowControl/>
        <w:spacing w:before="240" w:after="240"/>
        <w:jc w:val="left"/>
        <w:rPr>
          <w:rFonts w:hint="eastAsia" w:ascii="仿宋_GB2312" w:hAnsi="仿宋_GB2312" w:eastAsia="仿宋_GB2312" w:cs="仿宋_GB2312"/>
          <w:kern w:val="0"/>
          <w:sz w:val="32"/>
          <w:szCs w:val="32"/>
        </w:rPr>
      </w:pPr>
    </w:p>
    <w:p w14:paraId="737F236A">
      <w:pPr>
        <w:pStyle w:val="3"/>
        <w:keepNext w:val="0"/>
        <w:keepLines w:val="0"/>
        <w:widowControl/>
        <w:spacing w:before="299" w:after="299" w:line="240" w:lineRule="auto"/>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第五部分 部门（单位）决算表</w:t>
      </w:r>
    </w:p>
    <w:p w14:paraId="7C52BF61">
      <w:pPr>
        <w:widowControl/>
        <w:spacing w:before="240" w:after="24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见附件。</w:t>
      </w:r>
    </w:p>
    <w:p w14:paraId="0D90E034">
      <w:pPr>
        <w:widowControl/>
        <w:spacing w:before="240" w:after="240"/>
        <w:jc w:val="left"/>
        <w:rPr>
          <w:rFonts w:hint="eastAsia" w:ascii="仿宋_GB2312" w:hAnsi="仿宋_GB2312" w:eastAsia="仿宋_GB2312" w:cs="仿宋_GB2312"/>
          <w:kern w:val="0"/>
          <w:sz w:val="32"/>
          <w:szCs w:val="32"/>
        </w:rPr>
      </w:pPr>
    </w:p>
    <w:bookmarkEnd w:id="0"/>
    <w:p w14:paraId="064DC7E7">
      <w:pPr>
        <w:tabs>
          <w:tab w:val="left" w:pos="8415"/>
        </w:tabs>
      </w:pPr>
    </w:p>
    <w:sectPr>
      <w:footerReference r:id="rId4" w:type="default"/>
      <w:pgSz w:w="11906" w:h="16838"/>
      <w:pgMar w:top="1440" w:right="1083" w:bottom="1440" w:left="1083" w:header="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imes_new_roman">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fang_zheng_xiao_biao_song_ti">
    <w:altName w:val="Segoe Print"/>
    <w:panose1 w:val="00000000000000000000"/>
    <w:charset w:val="00"/>
    <w:family w:val="auto"/>
    <w:pitch w:val="default"/>
    <w:sig w:usb0="00000000" w:usb1="00000000" w:usb2="00000000" w:usb3="00000000" w:csb0="00000000" w:csb1="00000000"/>
  </w:font>
  <w:font w:name="kai_ti_gb2312">
    <w:altName w:val="Segoe Print"/>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16384">
    <w:pPr>
      <w:jc w:val="center"/>
    </w:pPr>
    <w:r>
      <w:rPr>
        <w:rFonts w:ascii="宋体" w:hAnsi="宋体" w:eastAsia="宋体" w:cs="宋体"/>
        <w:sz w:val="18"/>
      </w:rPr>
      <w:fldChar w:fldCharType="begin"/>
    </w:r>
    <w:r>
      <w:rPr>
        <w:rFonts w:ascii="宋体" w:hAnsi="宋体" w:eastAsia="宋体" w:cs="宋体"/>
        <w:sz w:val="18"/>
      </w:rPr>
      <w:instrText xml:space="preserve"> PAGE </w:instrText>
    </w:r>
    <w:r>
      <w:rPr>
        <w:rFonts w:ascii="宋体" w:hAnsi="宋体" w:eastAsia="宋体" w:cs="宋体"/>
        <w:sz w:val="18"/>
      </w:rPr>
      <w:fldChar w:fldCharType="separate"/>
    </w:r>
    <w:r>
      <w:rPr>
        <w:rFonts w:ascii="宋体" w:hAnsi="宋体" w:eastAsia="宋体" w:cs="宋体"/>
        <w:sz w:val="18"/>
      </w:rPr>
      <w:t>1</w:t>
    </w:r>
    <w:r>
      <w:rPr>
        <w:rFonts w:ascii="宋体" w:hAnsi="宋体" w:eastAsia="宋体" w:cs="宋体"/>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4D134">
    <w:pPr>
      <w:pStyle w:val="12"/>
      <w:jc w:val="center"/>
    </w:pPr>
    <w:r>
      <w:fldChar w:fldCharType="begin"/>
    </w:r>
    <w:r>
      <w:instrText xml:space="preserve"> PAGE   \* MERGEFORMAT </w:instrText>
    </w:r>
    <w:r>
      <w:fldChar w:fldCharType="separate"/>
    </w:r>
    <w:r>
      <w:rPr>
        <w:lang w:val="zh-CN"/>
      </w:rPr>
      <w:t>26</w:t>
    </w:r>
    <w:r>
      <w:rPr>
        <w:lang w:val="zh-CN"/>
      </w:rPr>
      <w:fldChar w:fldCharType="end"/>
    </w:r>
  </w:p>
  <w:p w14:paraId="2E0A9122">
    <w:pPr>
      <w:pStyle w:val="1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B05D55"/>
    <w:multiLevelType w:val="singleLevel"/>
    <w:tmpl w:val="86B05D55"/>
    <w:lvl w:ilvl="0" w:tentative="0">
      <w:start w:val="2"/>
      <w:numFmt w:val="chineseCounting"/>
      <w:suff w:val="nothing"/>
      <w:lvlText w:val="%1、"/>
      <w:lvlJc w:val="left"/>
      <w:pPr>
        <w:ind w:left="393" w:leftChars="0" w:firstLine="0" w:firstLineChars="0"/>
      </w:pPr>
      <w:rPr>
        <w:rFonts w:hint="eastAsia"/>
      </w:rPr>
    </w:lvl>
  </w:abstractNum>
  <w:abstractNum w:abstractNumId="1">
    <w:nsid w:val="9751706C"/>
    <w:multiLevelType w:val="singleLevel"/>
    <w:tmpl w:val="9751706C"/>
    <w:lvl w:ilvl="0" w:tentative="0">
      <w:start w:val="1"/>
      <w:numFmt w:val="decimal"/>
      <w:suff w:val="nothing"/>
      <w:lvlText w:val="%1．"/>
      <w:lvlJc w:val="left"/>
      <w:pPr>
        <w:ind w:left="810" w:leftChars="0" w:firstLine="0" w:firstLineChars="0"/>
      </w:pPr>
    </w:lvl>
  </w:abstractNum>
  <w:abstractNum w:abstractNumId="2">
    <w:nsid w:val="B46E0408"/>
    <w:multiLevelType w:val="singleLevel"/>
    <w:tmpl w:val="B46E0408"/>
    <w:lvl w:ilvl="0" w:tentative="0">
      <w:start w:val="3"/>
      <w:numFmt w:val="decimal"/>
      <w:suff w:val="nothing"/>
      <w:lvlText w:val="%1、"/>
      <w:lvlJc w:val="left"/>
    </w:lvl>
  </w:abstractNum>
  <w:abstractNum w:abstractNumId="3">
    <w:nsid w:val="B7D2515B"/>
    <w:multiLevelType w:val="singleLevel"/>
    <w:tmpl w:val="B7D2515B"/>
    <w:lvl w:ilvl="0" w:tentative="0">
      <w:start w:val="4"/>
      <w:numFmt w:val="decimal"/>
      <w:suff w:val="nothing"/>
      <w:lvlText w:val="%1．"/>
      <w:lvlJc w:val="left"/>
    </w:lvl>
  </w:abstractNum>
  <w:abstractNum w:abstractNumId="4">
    <w:nsid w:val="BF973A0F"/>
    <w:multiLevelType w:val="singleLevel"/>
    <w:tmpl w:val="BF973A0F"/>
    <w:lvl w:ilvl="0" w:tentative="0">
      <w:start w:val="1"/>
      <w:numFmt w:val="decimal"/>
      <w:suff w:val="nothing"/>
      <w:lvlText w:val="%1．"/>
      <w:lvlJc w:val="left"/>
      <w:pPr>
        <w:ind w:left="975" w:leftChars="0" w:firstLine="0" w:firstLineChars="0"/>
      </w:pPr>
    </w:lvl>
  </w:abstractNum>
  <w:abstractNum w:abstractNumId="5">
    <w:nsid w:val="4FBD00C1"/>
    <w:multiLevelType w:val="singleLevel"/>
    <w:tmpl w:val="4FBD00C1"/>
    <w:lvl w:ilvl="0" w:tentative="0">
      <w:start w:val="1"/>
      <w:numFmt w:val="chineseCounting"/>
      <w:suff w:val="nothing"/>
      <w:lvlText w:val="（%1）"/>
      <w:lvlJc w:val="left"/>
      <w:pPr>
        <w:ind w:left="421" w:leftChars="0" w:firstLine="0" w:firstLineChars="0"/>
      </w:pPr>
      <w:rPr>
        <w:rFonts w:hint="eastAsia"/>
      </w:rPr>
    </w:lvl>
  </w:abstractNum>
  <w:abstractNum w:abstractNumId="6">
    <w:nsid w:val="7222999D"/>
    <w:multiLevelType w:val="singleLevel"/>
    <w:tmpl w:val="7222999D"/>
    <w:lvl w:ilvl="0" w:tentative="0">
      <w:start w:val="1"/>
      <w:numFmt w:val="decimal"/>
      <w:suff w:val="nothing"/>
      <w:lvlText w:val="%1．"/>
      <w:lvlJc w:val="left"/>
    </w:lvl>
  </w:abstractNum>
  <w:num w:numId="1">
    <w:abstractNumId w:val="0"/>
  </w:num>
  <w:num w:numId="2">
    <w:abstractNumId w:val="6"/>
  </w:num>
  <w:num w:numId="3">
    <w:abstractNumId w:val="3"/>
  </w:num>
  <w:num w:numId="4">
    <w:abstractNumId w:val="4"/>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536"/>
    <w:rsid w:val="0000662F"/>
    <w:rsid w:val="00023E75"/>
    <w:rsid w:val="00033C6A"/>
    <w:rsid w:val="00063AC2"/>
    <w:rsid w:val="000774F0"/>
    <w:rsid w:val="0008308B"/>
    <w:rsid w:val="00097269"/>
    <w:rsid w:val="000A769F"/>
    <w:rsid w:val="000D3889"/>
    <w:rsid w:val="0010682D"/>
    <w:rsid w:val="001620BF"/>
    <w:rsid w:val="001814D4"/>
    <w:rsid w:val="00183373"/>
    <w:rsid w:val="001E7634"/>
    <w:rsid w:val="00204509"/>
    <w:rsid w:val="00225D2E"/>
    <w:rsid w:val="0023107E"/>
    <w:rsid w:val="00233241"/>
    <w:rsid w:val="00297C52"/>
    <w:rsid w:val="00300987"/>
    <w:rsid w:val="0030784F"/>
    <w:rsid w:val="00312846"/>
    <w:rsid w:val="00367870"/>
    <w:rsid w:val="00375E79"/>
    <w:rsid w:val="003A4E85"/>
    <w:rsid w:val="003B3EAA"/>
    <w:rsid w:val="00482D36"/>
    <w:rsid w:val="00490629"/>
    <w:rsid w:val="0049507B"/>
    <w:rsid w:val="004A738F"/>
    <w:rsid w:val="004B1589"/>
    <w:rsid w:val="004B721F"/>
    <w:rsid w:val="004D7065"/>
    <w:rsid w:val="004E0B6C"/>
    <w:rsid w:val="005011E1"/>
    <w:rsid w:val="00505A51"/>
    <w:rsid w:val="0051384E"/>
    <w:rsid w:val="00521603"/>
    <w:rsid w:val="00536012"/>
    <w:rsid w:val="0054657E"/>
    <w:rsid w:val="0059054F"/>
    <w:rsid w:val="00596608"/>
    <w:rsid w:val="005B4139"/>
    <w:rsid w:val="005C13AB"/>
    <w:rsid w:val="00667493"/>
    <w:rsid w:val="006C017F"/>
    <w:rsid w:val="006E7255"/>
    <w:rsid w:val="007003B2"/>
    <w:rsid w:val="007402A0"/>
    <w:rsid w:val="00762248"/>
    <w:rsid w:val="00787000"/>
    <w:rsid w:val="007A7BA5"/>
    <w:rsid w:val="007B6706"/>
    <w:rsid w:val="007C1FDD"/>
    <w:rsid w:val="007D6292"/>
    <w:rsid w:val="00857D98"/>
    <w:rsid w:val="00894C48"/>
    <w:rsid w:val="00896385"/>
    <w:rsid w:val="008A10DB"/>
    <w:rsid w:val="008B5455"/>
    <w:rsid w:val="009125DD"/>
    <w:rsid w:val="00954CD9"/>
    <w:rsid w:val="009A5EF3"/>
    <w:rsid w:val="009D6904"/>
    <w:rsid w:val="009E1EE8"/>
    <w:rsid w:val="009E227B"/>
    <w:rsid w:val="009E308A"/>
    <w:rsid w:val="009F0536"/>
    <w:rsid w:val="00A147CF"/>
    <w:rsid w:val="00A270BE"/>
    <w:rsid w:val="00A36C1D"/>
    <w:rsid w:val="00A517A0"/>
    <w:rsid w:val="00A62486"/>
    <w:rsid w:val="00AB013A"/>
    <w:rsid w:val="00AD11A5"/>
    <w:rsid w:val="00AE47F5"/>
    <w:rsid w:val="00AF5F33"/>
    <w:rsid w:val="00B27D51"/>
    <w:rsid w:val="00B32BEE"/>
    <w:rsid w:val="00B373AF"/>
    <w:rsid w:val="00B4208A"/>
    <w:rsid w:val="00B57D7A"/>
    <w:rsid w:val="00B76620"/>
    <w:rsid w:val="00B840CE"/>
    <w:rsid w:val="00B96C3D"/>
    <w:rsid w:val="00BD0928"/>
    <w:rsid w:val="00BE5F73"/>
    <w:rsid w:val="00BF4228"/>
    <w:rsid w:val="00C07A30"/>
    <w:rsid w:val="00C352FF"/>
    <w:rsid w:val="00C44231"/>
    <w:rsid w:val="00CC6B8B"/>
    <w:rsid w:val="00CD3751"/>
    <w:rsid w:val="00D2051A"/>
    <w:rsid w:val="00D96390"/>
    <w:rsid w:val="00E219E7"/>
    <w:rsid w:val="00E30CE0"/>
    <w:rsid w:val="00E3602E"/>
    <w:rsid w:val="00E60D6A"/>
    <w:rsid w:val="00E73321"/>
    <w:rsid w:val="00E77EC0"/>
    <w:rsid w:val="00E914C1"/>
    <w:rsid w:val="00E97C37"/>
    <w:rsid w:val="00EE533B"/>
    <w:rsid w:val="00F03A2B"/>
    <w:rsid w:val="00F04882"/>
    <w:rsid w:val="00F63327"/>
    <w:rsid w:val="00F80A29"/>
    <w:rsid w:val="00FA7CA5"/>
    <w:rsid w:val="00FD08EC"/>
    <w:rsid w:val="00FD7690"/>
    <w:rsid w:val="03551524"/>
    <w:rsid w:val="03C82BD3"/>
    <w:rsid w:val="05B42506"/>
    <w:rsid w:val="06B4705F"/>
    <w:rsid w:val="0AAD329B"/>
    <w:rsid w:val="0CAA5073"/>
    <w:rsid w:val="0CC04897"/>
    <w:rsid w:val="0DD56BEF"/>
    <w:rsid w:val="0DDE6D7A"/>
    <w:rsid w:val="0EC31E34"/>
    <w:rsid w:val="0F3072D2"/>
    <w:rsid w:val="117F087D"/>
    <w:rsid w:val="12D52062"/>
    <w:rsid w:val="14BD2A3A"/>
    <w:rsid w:val="14FE2B68"/>
    <w:rsid w:val="1E5E17D4"/>
    <w:rsid w:val="1E84596E"/>
    <w:rsid w:val="1F057687"/>
    <w:rsid w:val="20E46A58"/>
    <w:rsid w:val="215478D2"/>
    <w:rsid w:val="224E6BC8"/>
    <w:rsid w:val="23BD5235"/>
    <w:rsid w:val="23DF55EE"/>
    <w:rsid w:val="2762522D"/>
    <w:rsid w:val="2C7C090D"/>
    <w:rsid w:val="2D241E80"/>
    <w:rsid w:val="2D4D0205"/>
    <w:rsid w:val="2E9B1CF5"/>
    <w:rsid w:val="2FBA3766"/>
    <w:rsid w:val="30907F59"/>
    <w:rsid w:val="325F4087"/>
    <w:rsid w:val="33EA1D1F"/>
    <w:rsid w:val="33FB7E2E"/>
    <w:rsid w:val="379A3ACB"/>
    <w:rsid w:val="388448F0"/>
    <w:rsid w:val="3A086DB2"/>
    <w:rsid w:val="3A16144B"/>
    <w:rsid w:val="3A48217A"/>
    <w:rsid w:val="3A995420"/>
    <w:rsid w:val="3B4979E0"/>
    <w:rsid w:val="3C7C5835"/>
    <w:rsid w:val="3F787BC1"/>
    <w:rsid w:val="42D45FD7"/>
    <w:rsid w:val="42F40705"/>
    <w:rsid w:val="436C03B1"/>
    <w:rsid w:val="46A34603"/>
    <w:rsid w:val="480F698B"/>
    <w:rsid w:val="48C4659A"/>
    <w:rsid w:val="495A6EFE"/>
    <w:rsid w:val="4A062997"/>
    <w:rsid w:val="4BFB0ECD"/>
    <w:rsid w:val="4CA914C6"/>
    <w:rsid w:val="4DFE60AA"/>
    <w:rsid w:val="4E9E662E"/>
    <w:rsid w:val="4F5927A8"/>
    <w:rsid w:val="502142D2"/>
    <w:rsid w:val="503F36FF"/>
    <w:rsid w:val="51CD438B"/>
    <w:rsid w:val="53DF30FE"/>
    <w:rsid w:val="53E775E0"/>
    <w:rsid w:val="572C7F6E"/>
    <w:rsid w:val="59EF2517"/>
    <w:rsid w:val="5A3924EB"/>
    <w:rsid w:val="5A4D65D0"/>
    <w:rsid w:val="5B9E711E"/>
    <w:rsid w:val="5BE95625"/>
    <w:rsid w:val="625D1288"/>
    <w:rsid w:val="637F4381"/>
    <w:rsid w:val="676953BD"/>
    <w:rsid w:val="6807798D"/>
    <w:rsid w:val="6843005F"/>
    <w:rsid w:val="729F6EEB"/>
    <w:rsid w:val="74416F3B"/>
    <w:rsid w:val="76095EDD"/>
    <w:rsid w:val="77B67E67"/>
    <w:rsid w:val="7B71585E"/>
    <w:rsid w:val="7B825CBD"/>
    <w:rsid w:val="7D182549"/>
    <w:rsid w:val="7EB16834"/>
    <w:rsid w:val="7F890CD7"/>
    <w:rsid w:val="7FC626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qFormat="1"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29"/>
    <w:qFormat/>
    <w:uiPriority w:val="0"/>
    <w:pPr>
      <w:keepNext/>
      <w:keepLines/>
      <w:spacing w:before="260" w:after="260" w:line="416" w:lineRule="auto"/>
      <w:outlineLvl w:val="2"/>
    </w:pPr>
    <w:rPr>
      <w:b/>
      <w:bCs/>
      <w:sz w:val="32"/>
      <w:szCs w:val="32"/>
    </w:rPr>
  </w:style>
  <w:style w:type="paragraph" w:styleId="5">
    <w:name w:val="heading 4"/>
    <w:basedOn w:val="1"/>
    <w:next w:val="1"/>
    <w:link w:val="24"/>
    <w:qFormat/>
    <w:uiPriority w:val="0"/>
    <w:pPr>
      <w:keepNext/>
      <w:keepLines/>
      <w:spacing w:before="280" w:after="290" w:line="376" w:lineRule="auto"/>
      <w:outlineLvl w:val="3"/>
    </w:pPr>
    <w:rPr>
      <w:rFonts w:ascii="Cambria" w:hAnsi="Cambria"/>
      <w:b/>
      <w:bCs/>
      <w:sz w:val="28"/>
      <w:szCs w:val="28"/>
    </w:rPr>
  </w:style>
  <w:style w:type="character" w:default="1" w:styleId="21">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autoRedefine/>
    <w:qFormat/>
    <w:uiPriority w:val="0"/>
    <w:pPr>
      <w:ind w:left="1260"/>
      <w:jc w:val="left"/>
    </w:pPr>
    <w:rPr>
      <w:sz w:val="20"/>
      <w:szCs w:val="20"/>
    </w:rPr>
  </w:style>
  <w:style w:type="paragraph" w:styleId="7">
    <w:name w:val="Document Map"/>
    <w:basedOn w:val="1"/>
    <w:qFormat/>
    <w:uiPriority w:val="0"/>
    <w:pPr>
      <w:shd w:val="clear" w:color="auto" w:fill="000080"/>
    </w:pPr>
  </w:style>
  <w:style w:type="paragraph" w:styleId="8">
    <w:name w:val="Body Text Indent"/>
    <w:basedOn w:val="1"/>
    <w:unhideWhenUsed/>
    <w:qFormat/>
    <w:uiPriority w:val="0"/>
    <w:pPr>
      <w:spacing w:beforeLines="0" w:after="120" w:afterLines="0"/>
      <w:ind w:left="420" w:leftChars="200"/>
    </w:pPr>
    <w:rPr>
      <w:rFonts w:hint="eastAsia" w:ascii="宋体" w:hAnsi="宋体" w:eastAsia="宋体"/>
      <w:sz w:val="24"/>
      <w:szCs w:val="24"/>
    </w:rPr>
  </w:style>
  <w:style w:type="paragraph" w:styleId="9">
    <w:name w:val="toc 5"/>
    <w:basedOn w:val="1"/>
    <w:next w:val="1"/>
    <w:autoRedefine/>
    <w:qFormat/>
    <w:uiPriority w:val="0"/>
    <w:pPr>
      <w:ind w:left="840"/>
      <w:jc w:val="left"/>
    </w:pPr>
    <w:rPr>
      <w:sz w:val="20"/>
      <w:szCs w:val="20"/>
    </w:rPr>
  </w:style>
  <w:style w:type="paragraph" w:styleId="10">
    <w:name w:val="toc 3"/>
    <w:basedOn w:val="1"/>
    <w:next w:val="1"/>
    <w:qFormat/>
    <w:uiPriority w:val="0"/>
    <w:pPr>
      <w:adjustRightInd w:val="0"/>
      <w:snapToGrid w:val="0"/>
      <w:spacing w:line="360" w:lineRule="auto"/>
      <w:ind w:firstLine="400" w:firstLineChars="400"/>
      <w:jc w:val="left"/>
    </w:pPr>
    <w:rPr>
      <w:sz w:val="24"/>
      <w:szCs w:val="20"/>
    </w:rPr>
  </w:style>
  <w:style w:type="paragraph" w:styleId="11">
    <w:name w:val="toc 8"/>
    <w:basedOn w:val="1"/>
    <w:next w:val="1"/>
    <w:autoRedefine/>
    <w:qFormat/>
    <w:uiPriority w:val="0"/>
    <w:pPr>
      <w:ind w:left="1470"/>
      <w:jc w:val="left"/>
    </w:pPr>
    <w:rPr>
      <w:sz w:val="20"/>
      <w:szCs w:val="20"/>
    </w:rPr>
  </w:style>
  <w:style w:type="paragraph" w:styleId="12">
    <w:name w:val="footer"/>
    <w:basedOn w:val="1"/>
    <w:link w:val="27"/>
    <w:qFormat/>
    <w:uiPriority w:val="0"/>
    <w:pPr>
      <w:tabs>
        <w:tab w:val="center" w:pos="4153"/>
        <w:tab w:val="right" w:pos="8306"/>
      </w:tabs>
      <w:snapToGrid w:val="0"/>
      <w:jc w:val="left"/>
    </w:pPr>
    <w:rPr>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pPr>
      <w:adjustRightInd w:val="0"/>
      <w:snapToGrid w:val="0"/>
      <w:spacing w:line="360" w:lineRule="auto"/>
      <w:jc w:val="left"/>
    </w:pPr>
    <w:rPr>
      <w:b/>
      <w:bCs/>
      <w:sz w:val="24"/>
      <w:szCs w:val="20"/>
    </w:rPr>
  </w:style>
  <w:style w:type="paragraph" w:styleId="15">
    <w:name w:val="toc 4"/>
    <w:basedOn w:val="1"/>
    <w:next w:val="1"/>
    <w:autoRedefine/>
    <w:qFormat/>
    <w:uiPriority w:val="0"/>
    <w:pPr>
      <w:ind w:left="630"/>
      <w:jc w:val="left"/>
    </w:pPr>
    <w:rPr>
      <w:sz w:val="20"/>
      <w:szCs w:val="20"/>
    </w:rPr>
  </w:style>
  <w:style w:type="paragraph" w:styleId="16">
    <w:name w:val="toc 6"/>
    <w:basedOn w:val="1"/>
    <w:next w:val="1"/>
    <w:autoRedefine/>
    <w:qFormat/>
    <w:uiPriority w:val="0"/>
    <w:pPr>
      <w:ind w:left="1050"/>
      <w:jc w:val="left"/>
    </w:pPr>
    <w:rPr>
      <w:sz w:val="20"/>
      <w:szCs w:val="20"/>
    </w:rPr>
  </w:style>
  <w:style w:type="paragraph" w:styleId="17">
    <w:name w:val="toc 2"/>
    <w:basedOn w:val="1"/>
    <w:next w:val="1"/>
    <w:qFormat/>
    <w:uiPriority w:val="0"/>
    <w:pPr>
      <w:adjustRightInd w:val="0"/>
      <w:snapToGrid w:val="0"/>
      <w:spacing w:line="360" w:lineRule="auto"/>
      <w:ind w:firstLine="200" w:firstLineChars="200"/>
      <w:jc w:val="left"/>
    </w:pPr>
    <w:rPr>
      <w:iCs/>
      <w:sz w:val="24"/>
      <w:szCs w:val="20"/>
    </w:rPr>
  </w:style>
  <w:style w:type="paragraph" w:styleId="18">
    <w:name w:val="toc 9"/>
    <w:basedOn w:val="1"/>
    <w:next w:val="1"/>
    <w:autoRedefine/>
    <w:qFormat/>
    <w:uiPriority w:val="0"/>
    <w:pPr>
      <w:ind w:left="1680"/>
      <w:jc w:val="left"/>
    </w:pPr>
    <w:rPr>
      <w:sz w:val="20"/>
      <w:szCs w:val="20"/>
    </w:rPr>
  </w:style>
  <w:style w:type="paragraph" w:styleId="19">
    <w:name w:val="Body Text First Indent 2"/>
    <w:basedOn w:val="8"/>
    <w:unhideWhenUsed/>
    <w:qFormat/>
    <w:uiPriority w:val="0"/>
    <w:pPr>
      <w:spacing w:beforeLines="0" w:afterLines="0"/>
      <w:ind w:firstLine="420"/>
    </w:pPr>
    <w:rPr>
      <w:rFonts w:hint="eastAsia"/>
      <w:sz w:val="24"/>
      <w:szCs w:val="24"/>
    </w:rPr>
  </w:style>
  <w:style w:type="character" w:styleId="22">
    <w:name w:val="page number"/>
    <w:basedOn w:val="21"/>
    <w:qFormat/>
    <w:uiPriority w:val="0"/>
  </w:style>
  <w:style w:type="character" w:styleId="23">
    <w:name w:val="Hyperlink"/>
    <w:basedOn w:val="21"/>
    <w:qFormat/>
    <w:uiPriority w:val="0"/>
    <w:rPr>
      <w:color w:val="0000FF"/>
      <w:u w:val="single"/>
    </w:rPr>
  </w:style>
  <w:style w:type="character" w:customStyle="1" w:styleId="24">
    <w:name w:val="标题 4 Char"/>
    <w:basedOn w:val="21"/>
    <w:link w:val="5"/>
    <w:qFormat/>
    <w:uiPriority w:val="0"/>
    <w:rPr>
      <w:rFonts w:ascii="Cambria" w:hAnsi="Cambria"/>
      <w:b/>
      <w:bCs/>
      <w:kern w:val="2"/>
      <w:sz w:val="28"/>
      <w:szCs w:val="28"/>
    </w:rPr>
  </w:style>
  <w:style w:type="paragraph" w:styleId="25">
    <w:name w:val="No Spacing"/>
    <w:link w:val="26"/>
    <w:qFormat/>
    <w:uiPriority w:val="0"/>
    <w:pPr>
      <w:ind w:firstLine="200" w:firstLineChars="200"/>
    </w:pPr>
    <w:rPr>
      <w:rFonts w:ascii="Times New Roman" w:hAnsi="Times New Roman" w:eastAsia="仿宋_GB2312" w:cs="Times New Roman"/>
      <w:sz w:val="30"/>
      <w:szCs w:val="22"/>
      <w:lang w:val="en-US" w:eastAsia="zh-CN" w:bidi="ar-SA"/>
    </w:rPr>
  </w:style>
  <w:style w:type="character" w:customStyle="1" w:styleId="26">
    <w:name w:val="无间隔 Char"/>
    <w:link w:val="25"/>
    <w:qFormat/>
    <w:locked/>
    <w:uiPriority w:val="0"/>
    <w:rPr>
      <w:rFonts w:eastAsia="仿宋_GB2312"/>
      <w:sz w:val="30"/>
      <w:szCs w:val="22"/>
      <w:lang w:bidi="ar-SA"/>
    </w:rPr>
  </w:style>
  <w:style w:type="character" w:customStyle="1" w:styleId="27">
    <w:name w:val="页脚 Char"/>
    <w:basedOn w:val="21"/>
    <w:link w:val="12"/>
    <w:qFormat/>
    <w:uiPriority w:val="0"/>
    <w:rPr>
      <w:kern w:val="2"/>
      <w:sz w:val="18"/>
      <w:szCs w:val="18"/>
    </w:rPr>
  </w:style>
  <w:style w:type="paragraph" w:styleId="28">
    <w:name w:val="List Paragraph"/>
    <w:basedOn w:val="1"/>
    <w:qFormat/>
    <w:uiPriority w:val="0"/>
    <w:pPr>
      <w:ind w:firstLine="420" w:firstLineChars="200"/>
    </w:pPr>
  </w:style>
  <w:style w:type="character" w:customStyle="1" w:styleId="29">
    <w:name w:val="标题 3 Char"/>
    <w:basedOn w:val="21"/>
    <w:link w:val="4"/>
    <w:qFormat/>
    <w:uiPriority w:val="0"/>
    <w:rPr>
      <w:b/>
      <w:bCs/>
      <w:kern w:val="2"/>
      <w:sz w:val="32"/>
      <w:szCs w:val="32"/>
    </w:rPr>
  </w:style>
  <w:style w:type="paragraph" w:customStyle="1" w:styleId="30">
    <w:name w:val="MsoNormal"/>
    <w:basedOn w:val="1"/>
    <w:qFormat/>
    <w:uiPriority w:val="0"/>
  </w:style>
  <w:style w:type="paragraph" w:customStyle="1" w:styleId="31">
    <w:name w:val="WPSOffice手动目录 1"/>
    <w:unhideWhenUsed/>
    <w:qFormat/>
    <w:uiPriority w:val="99"/>
    <w:pPr>
      <w:spacing w:beforeLines="0" w:afterLines="0"/>
    </w:pPr>
    <w:rPr>
      <w:rFonts w:hint="default" w:ascii="Calibri" w:hAnsi="Calibri" w:eastAsia="宋体" w:cs="Times New Roman"/>
      <w:sz w:val="24"/>
      <w:szCs w:val="24"/>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SixthEditionOfficeOnline.xsl" StyleName="APA"/>
</file>

<file path=customXml/itemProps1.xml><?xml version="1.0" encoding="utf-8"?>
<ds:datastoreItem xmlns:ds="http://schemas.openxmlformats.org/officeDocument/2006/customXml" ds:itemID="{1EFD8714-0FA9-4C6D-A463-F07367D20AE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30</Pages>
  <Words>10138</Words>
  <Characters>10898</Characters>
  <Lines>1</Lines>
  <Paragraphs>1</Paragraphs>
  <TotalTime>7</TotalTime>
  <ScaleCrop>false</ScaleCrop>
  <LinksUpToDate>false</LinksUpToDate>
  <CharactersWithSpaces>11438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2022-03-23T12:40:00Z</dcterms:created>
  <dc:creator>Administrator</dc:creator>
  <cp:lastModifiedBy>在路上</cp:lastModifiedBy>
  <cp:lastPrinted>2021-04-16T00:45:00Z</cp:lastPrinted>
  <dcterms:modified xsi:type="dcterms:W3CDTF">2025-11-20T00:43:01Z</dcterms:modified>
  <dc:title>××年度××部门/单位</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909C7617737641A4BE964CB87AA6F04A_13</vt:lpwstr>
  </property>
  <property fmtid="{D5CDD505-2E9C-101B-9397-08002B2CF9AE}" pid="3" name="KSOProductBuildVer">
    <vt:lpwstr>2052-12.1.0.23542</vt:lpwstr>
  </property>
  <property fmtid="{D5CDD505-2E9C-101B-9397-08002B2CF9AE}" pid="4" name="KSOTemplateDocerSaveRecord">
    <vt:lpwstr>eyJoZGlkIjoiZTQ0ODFiZWVjZGY1ZTI0ZDBkZGNiOWM0ZDc2ZjI0ZjQiLCJ1c2VySWQiOiI1MDc0NTg0NzIifQ==</vt:lpwstr>
  </property>
</Properties>
</file>