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B8804">
      <w:pPr>
        <w:spacing w:before="1200" w:beforeLines="500" w:after="1200" w:afterLines="500" w:line="360" w:lineRule="auto"/>
        <w:jc w:val="center"/>
        <w:rPr>
          <w:rFonts w:hint="default" w:ascii="宋体" w:hAnsi="宋体" w:eastAsia="宋体" w:cs="宋体"/>
          <w:b/>
          <w:bCs/>
          <w:color w:val="auto"/>
          <w:spacing w:val="0"/>
          <w:position w:val="0"/>
          <w:sz w:val="52"/>
          <w:szCs w:val="5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52"/>
          <w:szCs w:val="52"/>
          <w:highlight w:val="none"/>
          <w:lang w:val="en-US" w:eastAsia="zh-CN"/>
        </w:rPr>
        <w:t>扎兰屯市应急避难场所专项规划编制项目询价文件</w:t>
      </w:r>
    </w:p>
    <w:p w14:paraId="2C8D3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2A5B0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35A18E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3A637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00F9E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08E4A9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25E84F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5D50AB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7037A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5E92E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772AE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36"/>
          <w:szCs w:val="44"/>
        </w:rPr>
      </w:pPr>
    </w:p>
    <w:p w14:paraId="6EBB3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发布单位：</w:t>
      </w:r>
      <w:r>
        <w:rPr>
          <w:rFonts w:hint="eastAsia"/>
          <w:sz w:val="36"/>
          <w:szCs w:val="36"/>
          <w:lang w:eastAsia="zh-CN"/>
        </w:rPr>
        <w:t>扎兰屯市</w:t>
      </w:r>
      <w:r>
        <w:rPr>
          <w:rFonts w:hint="eastAsia"/>
          <w:sz w:val="36"/>
          <w:szCs w:val="36"/>
        </w:rPr>
        <w:t>应急管理局</w:t>
      </w:r>
    </w:p>
    <w:p w14:paraId="38BCD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eastAsiaTheme="minorEastAsia"/>
          <w:b w:val="0"/>
          <w:bCs w:val="0"/>
          <w:sz w:val="28"/>
          <w:szCs w:val="36"/>
          <w:highlight w:val="none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发布时间：</w:t>
      </w:r>
      <w:r>
        <w:rPr>
          <w:rFonts w:hint="eastAsia"/>
          <w:b w:val="0"/>
          <w:bCs w:val="0"/>
          <w:sz w:val="36"/>
          <w:szCs w:val="36"/>
          <w:highlight w:val="none"/>
          <w:lang w:val="en-US" w:eastAsia="zh-CN"/>
        </w:rPr>
        <w:t>2025年12月24日</w:t>
      </w:r>
    </w:p>
    <w:p w14:paraId="385FB543">
      <w:pPr>
        <w:jc w:val="center"/>
        <w:rPr>
          <w:rFonts w:hint="eastAsia"/>
          <w:sz w:val="28"/>
          <w:szCs w:val="36"/>
        </w:rPr>
        <w:sectPr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</w:p>
    <w:p w14:paraId="5AC2B57E">
      <w:pPr>
        <w:jc w:val="center"/>
        <w:rPr>
          <w:rFonts w:hint="eastAsia"/>
          <w:sz w:val="28"/>
          <w:szCs w:val="36"/>
        </w:r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60202"/>
        <w15:color w:val="DBDBDB"/>
        <w:docPartObj>
          <w:docPartGallery w:val="Table of Contents"/>
          <w:docPartUnique/>
        </w:docPartObj>
      </w:sdtPr>
      <w:sdtEndPr>
        <w:rPr>
          <w:rFonts w:hint="eastAsia" w:asciiTheme="majorEastAsia" w:hAnsiTheme="majorEastAsia" w:eastAsiaTheme="majorEastAsia" w:cstheme="majorEastAsia"/>
          <w:kern w:val="2"/>
          <w:sz w:val="28"/>
          <w:szCs w:val="28"/>
          <w:lang w:val="en-US" w:eastAsia="zh-CN" w:bidi="ar-SA"/>
        </w:rPr>
      </w:sdtEndPr>
      <w:sdtContent>
        <w:p w14:paraId="310A8BB4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黑体" w:hAnsi="黑体" w:eastAsia="黑体" w:cs="黑体"/>
              <w:sz w:val="36"/>
              <w:szCs w:val="36"/>
            </w:rPr>
          </w:pPr>
          <w:r>
            <w:rPr>
              <w:rFonts w:hint="eastAsia" w:ascii="黑体" w:hAnsi="黑体" w:eastAsia="黑体" w:cs="黑体"/>
              <w:sz w:val="36"/>
              <w:szCs w:val="36"/>
            </w:rPr>
            <w:t>目</w:t>
          </w:r>
          <w:r>
            <w:rPr>
              <w:rFonts w:hint="eastAsia" w:ascii="黑体" w:hAnsi="黑体" w:eastAsia="黑体" w:cs="黑体"/>
              <w:sz w:val="36"/>
              <w:szCs w:val="36"/>
              <w:lang w:val="en-US" w:eastAsia="zh-CN"/>
            </w:rPr>
            <w:t xml:space="preserve">      </w:t>
          </w:r>
          <w:r>
            <w:rPr>
              <w:rFonts w:hint="eastAsia" w:ascii="黑体" w:hAnsi="黑体" w:eastAsia="黑体" w:cs="黑体"/>
              <w:sz w:val="36"/>
              <w:szCs w:val="36"/>
            </w:rPr>
            <w:t>录</w:t>
          </w:r>
        </w:p>
        <w:p w14:paraId="6D7BF0E1">
          <w:pPr>
            <w:pStyle w:val="7"/>
            <w:tabs>
              <w:tab w:val="right" w:leader="dot" w:pos="8845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TOC \o "1-3" \h \u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_Toc7645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</w:rPr>
            <w:t>一、询价公告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_Toc7645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 w14:paraId="276D948A">
          <w:pPr>
            <w:pStyle w:val="7"/>
            <w:tabs>
              <w:tab w:val="right" w:leader="dot" w:pos="8845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_Toc7190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</w:rPr>
            <w:t>二、项目</w:t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  <w:lang w:val="en-US" w:eastAsia="zh-CN"/>
            </w:rPr>
            <w:t>内容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_Toc7190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 w14:paraId="16E320BC">
          <w:pPr>
            <w:pStyle w:val="7"/>
            <w:tabs>
              <w:tab w:val="right" w:leader="dot" w:pos="8845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_Toc13227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</w:rPr>
            <w:t>三、供应商资格要求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_Toc13227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3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 w14:paraId="59AAA962">
          <w:pPr>
            <w:pStyle w:val="7"/>
            <w:tabs>
              <w:tab w:val="right" w:leader="dot" w:pos="8845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_Toc14499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</w:rPr>
            <w:t>四、响应文件编制要求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_Toc14499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3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 w14:paraId="755C8852">
          <w:pPr>
            <w:pStyle w:val="7"/>
            <w:tabs>
              <w:tab w:val="right" w:leader="dot" w:pos="8845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_Toc32583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  <w:lang w:val="en-US" w:eastAsia="zh-CN"/>
            </w:rPr>
            <w:t>五</w:t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</w:rPr>
            <w:t>、评审办法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_Toc32583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4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 w14:paraId="33387B1D">
          <w:pPr>
            <w:pStyle w:val="7"/>
            <w:tabs>
              <w:tab w:val="right" w:leader="dot" w:pos="8845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_Toc21407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  <w:lang w:val="en-US" w:eastAsia="zh-CN"/>
            </w:rPr>
            <w:t>六</w:t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</w:rPr>
            <w:t>、合同条款（草案）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_Toc21407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4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 w14:paraId="74C62F3B">
          <w:pPr>
            <w:pStyle w:val="7"/>
            <w:tabs>
              <w:tab w:val="right" w:leader="dot" w:pos="8845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_Toc23751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  <w:lang w:val="en-US" w:eastAsia="zh-CN"/>
            </w:rPr>
            <w:t>七</w:t>
          </w:r>
          <w:r>
            <w:rPr>
              <w:rFonts w:hint="eastAsia" w:asciiTheme="majorEastAsia" w:hAnsiTheme="majorEastAsia" w:eastAsiaTheme="majorEastAsia" w:cstheme="majorEastAsia"/>
              <w:bCs w:val="0"/>
              <w:sz w:val="28"/>
              <w:szCs w:val="28"/>
            </w:rPr>
            <w:t>、其他事项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_Toc23751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5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 w14:paraId="0C33FFC7">
          <w:pPr>
            <w:rPr>
              <w:rFonts w:hint="eastAsia" w:asciiTheme="majorEastAsia" w:hAnsiTheme="majorEastAsia" w:eastAsiaTheme="majorEastAsia" w:cstheme="majorEastAsia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</w:sdtContent>
    </w:sdt>
    <w:p w14:paraId="0B133FBE">
      <w:pPr>
        <w:rPr>
          <w:rFonts w:hint="eastAsia" w:asciiTheme="majorEastAsia" w:hAnsiTheme="majorEastAsia" w:eastAsiaTheme="majorEastAsia" w:cstheme="majorEastAsia"/>
          <w:kern w:val="2"/>
          <w:sz w:val="28"/>
          <w:szCs w:val="28"/>
          <w:lang w:val="en-US" w:eastAsia="zh-CN" w:bidi="ar-SA"/>
        </w:rPr>
      </w:pPr>
    </w:p>
    <w:p w14:paraId="0B1AD762">
      <w:pPr>
        <w:rPr>
          <w:rFonts w:hint="eastAsia"/>
        </w:rPr>
      </w:pPr>
    </w:p>
    <w:p w14:paraId="495C9E4C">
      <w:pPr>
        <w:rPr>
          <w:rFonts w:hint="eastAsia"/>
        </w:rPr>
      </w:pPr>
    </w:p>
    <w:p w14:paraId="23DB8D92">
      <w:pPr>
        <w:rPr>
          <w:rFonts w:hint="eastAsia"/>
        </w:rPr>
      </w:pPr>
    </w:p>
    <w:p w14:paraId="492C5CAD">
      <w:pPr>
        <w:rPr>
          <w:rFonts w:hint="eastAsia"/>
        </w:rPr>
      </w:pPr>
    </w:p>
    <w:p w14:paraId="60A78E7B">
      <w:pPr>
        <w:rPr>
          <w:rFonts w:hint="eastAsia"/>
        </w:rPr>
      </w:pPr>
    </w:p>
    <w:p w14:paraId="263C4840">
      <w:pPr>
        <w:rPr>
          <w:rFonts w:hint="eastAsia"/>
        </w:rPr>
      </w:pPr>
    </w:p>
    <w:p w14:paraId="7DB6DD6D">
      <w:pPr>
        <w:rPr>
          <w:rFonts w:hint="eastAsia"/>
        </w:rPr>
      </w:pPr>
    </w:p>
    <w:p w14:paraId="355ECFB3">
      <w:pPr>
        <w:rPr>
          <w:rFonts w:hint="eastAsia"/>
        </w:rPr>
      </w:pPr>
    </w:p>
    <w:p w14:paraId="2E01CA1F">
      <w:pPr>
        <w:rPr>
          <w:rFonts w:hint="eastAsia"/>
        </w:rPr>
      </w:pPr>
    </w:p>
    <w:p w14:paraId="5272C0B1">
      <w:pPr>
        <w:rPr>
          <w:rFonts w:hint="eastAsia"/>
        </w:rPr>
      </w:pPr>
    </w:p>
    <w:p w14:paraId="11958110">
      <w:pPr>
        <w:rPr>
          <w:rFonts w:hint="eastAsia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start="1"/>
          <w:cols w:space="425" w:num="1"/>
          <w:docGrid w:type="lines" w:linePitch="312" w:charSpace="0"/>
        </w:sectPr>
      </w:pPr>
    </w:p>
    <w:p w14:paraId="1C9E10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bookmarkStart w:id="0" w:name="_Toc7645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一、询价公告</w:t>
      </w:r>
      <w:bookmarkEnd w:id="0"/>
    </w:p>
    <w:p w14:paraId="07C1F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为全面推进应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扎兰屯市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急避难场所专项规划编制项目工作，提升应急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应急避难管理能力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扎兰屯市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应急管理局拟通过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shd w:val="clear" w:color="auto" w:fill="auto"/>
          <w14:textFill>
            <w14:solidFill>
              <w14:schemeClr w14:val="tx1"/>
            </w14:solidFill>
          </w14:textFill>
        </w:rPr>
        <w:t>询价采购方式确定数据更新服务供应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商。项目预算金额为人民币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万元，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超过预算金额为无效报价，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现邀请符合条件的供应商参与报价。</w:t>
      </w:r>
    </w:p>
    <w:p w14:paraId="6F73F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1" w:name="_Toc7190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二、项目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内容</w:t>
      </w:r>
      <w:bookmarkEnd w:id="1"/>
    </w:p>
    <w:p w14:paraId="4073C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服务内容</w:t>
      </w:r>
    </w:p>
    <w:p w14:paraId="7C006D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编制《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扎兰屯市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应急避难场所专项规划（2025—2035年）》：基于灾害事故风险，分析本行政区域内的灾害事故风险，包括地震断裂带分布、洪涝高风险区划定、地质灾害隐患点等地理风险因素，结合历史灾情数据评估各类灾害的发生概率和影响范围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并充分考虑人口分布特征，重点保障中心城区高密度居住区、学校等人口密集场所的避难需求，兼顾农村地区的应急避险功能；设定规划期内应急避难场所建设目标及量化指标，以社区生活圈为基本单元，科学布局各级应急避难场所，统筹防灾、防疫等多功能设计；明确应急避难场所功能区划分，制定建设时序，资金统筹及运维保障措施；重点规划应急避难场所的分级分类体系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按照“就近避难、分级安置、平灾结合”原则，合理划分避难场所类型（紧急避难场所、短期避难场所、长期避难场所、室内避难场所、 室外避难场所 、综合性避难场 、单一性避难场、 特定避难场所），确定各级场所的布局方案、服务范围及覆盖人口。避难场所分级（县级避难场所）（乡镇街道避难场所）（村、社区级避难场所），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将文化、教育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体育场、绿地、公园、人防工程、方仓医院、客运站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等场所转行为应急避难场所，利用乡镇（街道）、村（社区）办公用房、文化广场等场所实现乡村全覆盖。</w:t>
      </w:r>
    </w:p>
    <w:p w14:paraId="74CC6E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2、基础调研与分析</w:t>
      </w:r>
    </w:p>
    <w:p w14:paraId="4B2D2ED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（1）. 全面摸排辖区内人口分布、地质地貌、交通条件、现有公共设施（学校、绿地、公园、人防工程、方仓医院、体育场、客运站等）、灾害风险等级等基础数据，形成详实的现状分析报告。</w:t>
      </w:r>
    </w:p>
    <w:p w14:paraId="5E39E2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（2）. 科学评估现有避难场所的数量、布局、容量、配套设施等短板，明确规划需求与重点方向。</w:t>
      </w:r>
    </w:p>
    <w:p w14:paraId="461D14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320" w:firstLineChars="1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（3）配套设施规划</w:t>
      </w:r>
    </w:p>
    <w:p w14:paraId="056CA1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 明确避难场所内应急供水、供电、通讯、排污、医疗救护、物资储备、应急厕所、消防等必备设施的配置标准、建设位置及建设要求。</w:t>
      </w:r>
    </w:p>
    <w:p w14:paraId="1C4B27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0" w:firstLineChars="200"/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 规划避难场所与应急疏散通道、物资储备点、医疗救治机构等应急设施的衔接路径，构建完整的应急避难保障体系。</w:t>
      </w:r>
    </w:p>
    <w:p w14:paraId="03C4D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服务要求</w:t>
      </w:r>
    </w:p>
    <w:p w14:paraId="37FFEE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要求深刻把握新时代我市应急管理工作的新形势、新任务和新要求，充分结合实际，坚持规划引领创新，专项规划编制要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严格遵循《中华人民共和国突发事件应对法》《地震应急避难场所场址及配套设施》（GB 21734-2008）应急管理部 自然资源部《应急避难场所专项规划编制指南》《内蒙古自治区应急避难场所专项规划》《呼伦贝尔市应急避难场所专项规划》等国家、行业及地方相关法律法规、技术标准，契合当地国土空间总体规划、应急体系建设规划等上位规划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统一底图、统一标准、统一期限、统一平台的要求，基于国土空间规划“一张图”系统提供的相关底图底数进行编制，并在在国土空间规划“一张图”系统上加强与国土空间规划的衔接及“一张图”的核对，协调处理空间矛盾。</w:t>
      </w:r>
    </w:p>
    <w:p w14:paraId="04D98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主要成果</w:t>
      </w:r>
    </w:p>
    <w:p w14:paraId="540B2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包括规划文本、规划图集、规划说明和相关数据库。涉及向社会公开的规划文本、图件等，需符合国家保密管理和地图管理等有关规定。</w:t>
      </w:r>
    </w:p>
    <w:p w14:paraId="119C5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1.规划文本</w:t>
      </w:r>
    </w:p>
    <w:p w14:paraId="5DD55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规划文本应以条文形式概括规划结论，文字表达规范、准确、清晰，内容明确简练，具有指导性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可操作性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和实用性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325E4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2.规划图集</w:t>
      </w:r>
    </w:p>
    <w:p w14:paraId="5C38FD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规划图集以第三次全国国土调查成果为底图，所表达的内容和要求与规划文本一致，并标注图名、比例尺、图例、绘制时间等，并统一格式。</w:t>
      </w:r>
    </w:p>
    <w:p w14:paraId="725A33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基础图件主要包括：应急避难场所资源分布图、灾害事故风险分析图、需避难人口分布图等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相关图件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653661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成果图件主要包括：应急避难场所布局体系规划图、应急通道规划图、应急避难场所服务范围规划图等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相关图件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3AAC6D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3.规划说明</w:t>
      </w:r>
    </w:p>
    <w:p w14:paraId="71C732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按照编制内容要求，对应规划文本相关章节，逐条进行详细说明，需重点说明的内容可适当增加篇幅，或另附专章说明，作为规划文本的支撑。</w:t>
      </w:r>
    </w:p>
    <w:p w14:paraId="0870FD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4.相关数据库</w:t>
      </w:r>
    </w:p>
    <w:p w14:paraId="0B84D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按照应急管理数据资源管理规定和国土空间规划成果数据汇交要求，制作应急避难场所专项规划相关数据库，成果纳入应急管理大数据应用平台和国土空间规划“一张图”实施监督信息系统。</w:t>
      </w:r>
    </w:p>
    <w:p w14:paraId="7B0B3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提交最终版本的文本资料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套，电子文档1套。</w:t>
      </w:r>
    </w:p>
    <w:p w14:paraId="4B7AB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bookmarkStart w:id="2" w:name="_Toc13227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三、供应商资格要求</w:t>
      </w:r>
      <w:bookmarkEnd w:id="2"/>
    </w:p>
    <w:p w14:paraId="5C4EB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1.具有独立承担民事责任的能力（提供营业执照副本复印件）；</w:t>
      </w:r>
    </w:p>
    <w:p w14:paraId="268136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2.具有良好的商业信誉和健全的财务会计制度（提供近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三个月或以上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财务报表并加盖公章）；</w:t>
      </w:r>
    </w:p>
    <w:p w14:paraId="2D3EA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在近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三年内，经营活动中没有重大违法记录（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positio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“国家企业信用公示系统（www.gsxt.gov.cn）”查询未被列入“严重违法失信企业名单”的截图并加盖公章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）；</w:t>
      </w:r>
    </w:p>
    <w:p w14:paraId="5FD1B2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position w:val="0"/>
          <w:sz w:val="32"/>
          <w:szCs w:val="32"/>
          <w:highlight w:val="none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4.具有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position w:val="0"/>
          <w:sz w:val="32"/>
          <w:szCs w:val="32"/>
          <w:highlight w:val="none"/>
          <w:lang w:eastAsia="zh-CN" w:bidi="ar"/>
          <w14:textFill>
            <w14:solidFill>
              <w14:schemeClr w14:val="tx1"/>
            </w14:solidFill>
          </w14:textFill>
        </w:rPr>
        <w:t>主管部门颁发的城乡规划编制资质；</w:t>
      </w:r>
    </w:p>
    <w:p w14:paraId="396B5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position w:val="0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pacing w:val="0"/>
          <w:positio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5.法律、行政法规规定的其他条件；</w:t>
      </w:r>
    </w:p>
    <w:p w14:paraId="16BC21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.本项目不接受联合体报价。</w:t>
      </w:r>
    </w:p>
    <w:p w14:paraId="0BF42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bookmarkStart w:id="3" w:name="_Toc14499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四、响应文件编制要求</w:t>
      </w:r>
      <w:bookmarkEnd w:id="3"/>
    </w:p>
    <w:p w14:paraId="651950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商务部分：</w:t>
      </w:r>
    </w:p>
    <w:p w14:paraId="595EF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报价单；</w:t>
      </w:r>
    </w:p>
    <w:p w14:paraId="73190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营业执照、资质证书复印件；</w:t>
      </w:r>
    </w:p>
    <w:p w14:paraId="561830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近三年类似项目业绩（提供合同关键页复印件）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4638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近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三年内，经营活动中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无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重大违法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的证明材料或说明。</w:t>
      </w:r>
    </w:p>
    <w:p w14:paraId="3BD1E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技术部分：</w:t>
      </w:r>
    </w:p>
    <w:p w14:paraId="0E7A8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项目实施方案（含工作流程、人员安排、时间进度表）；</w:t>
      </w:r>
    </w:p>
    <w:p w14:paraId="5DF78E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售后服务承诺（如数据维护、技术支持）。</w:t>
      </w:r>
    </w:p>
    <w:p w14:paraId="777A6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4" w:name="_Toc21407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、</w:t>
      </w:r>
      <w:bookmarkEnd w:id="4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评审办法</w:t>
      </w:r>
    </w:p>
    <w:p w14:paraId="56C85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规划成果需通过行业主管部门组织的专家评审及相关审批流程，具备法定效力和实施指导性。</w:t>
      </w:r>
    </w:p>
    <w:p w14:paraId="130A9C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bookmarkStart w:id="5" w:name="_Toc23751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、</w:t>
      </w:r>
      <w:bookmarkEnd w:id="5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合同条款（草案）</w:t>
      </w:r>
    </w:p>
    <w:p w14:paraId="07794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1.项目周期：自合同签订之日起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6个月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内完成全部工作；</w:t>
      </w:r>
    </w:p>
    <w:p w14:paraId="49958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2.付款方式：初验合格后支付50%，终验合格后支付剩余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0%；</w:t>
      </w:r>
    </w:p>
    <w:p w14:paraId="031F9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3.违约责任：逾期交付按合同总额0.5%/日支付违约金；</w:t>
      </w:r>
    </w:p>
    <w:p w14:paraId="73D168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4.争议解决：协商不成，提交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呼伦贝尔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仲裁委员会仲裁。</w:t>
      </w:r>
    </w:p>
    <w:p w14:paraId="4B186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</w:p>
    <w:p w14:paraId="12083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七、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其他事项</w:t>
      </w:r>
    </w:p>
    <w:p w14:paraId="7F2D9A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1.响应文件提交：截止时间为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2025年12月28</w:t>
      </w:r>
      <w:bookmarkStart w:id="6" w:name="_GoBack"/>
      <w:bookmarkEnd w:id="6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日15点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，地点为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扎兰屯市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应急管理局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地址：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扎兰屯市滨河水岸B18号楼7楼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邮箱：309544311@qq.com</w:t>
      </w:r>
    </w:p>
    <w:p w14:paraId="49351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联系人：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刘轩杰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电话：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18804989888     </w:t>
      </w:r>
    </w:p>
    <w:p w14:paraId="1E5D8F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 xml:space="preserve">采购人保留修改或取消本次采购活动的权利。 </w:t>
      </w:r>
    </w:p>
    <w:p w14:paraId="21C58F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</w:p>
    <w:p w14:paraId="01EA02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</w:p>
    <w:p w14:paraId="070E02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</w:p>
    <w:p w14:paraId="67A6E4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</w:p>
    <w:p w14:paraId="76EE1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 xml:space="preserve"> </w:t>
      </w:r>
    </w:p>
    <w:p w14:paraId="7052E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eastAsia="zh-CN"/>
        </w:rPr>
        <w:t>扎兰屯市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应急管理局</w:t>
      </w:r>
    </w:p>
    <w:p w14:paraId="6CE80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                   2025年12月24日</w:t>
      </w:r>
    </w:p>
    <w:p w14:paraId="52D0D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</w:p>
    <w:p w14:paraId="6A0836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</w:p>
    <w:sectPr>
      <w:footerReference r:id="rId4" w:type="default"/>
      <w:pgSz w:w="11906" w:h="16838"/>
      <w:pgMar w:top="2098" w:right="1474" w:bottom="1984" w:left="158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2E50B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E4B8F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AC4255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AC4255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06104"/>
    <w:rsid w:val="02C44E0D"/>
    <w:rsid w:val="02E51F3D"/>
    <w:rsid w:val="04C97CBC"/>
    <w:rsid w:val="061960C0"/>
    <w:rsid w:val="06F51A39"/>
    <w:rsid w:val="077B153B"/>
    <w:rsid w:val="085B0C0D"/>
    <w:rsid w:val="08852948"/>
    <w:rsid w:val="0C5E019A"/>
    <w:rsid w:val="17AE3C6A"/>
    <w:rsid w:val="18FE0A95"/>
    <w:rsid w:val="1A9B7675"/>
    <w:rsid w:val="1AEC6857"/>
    <w:rsid w:val="1E4961AD"/>
    <w:rsid w:val="1ED7EB19"/>
    <w:rsid w:val="21E06104"/>
    <w:rsid w:val="271D7D6A"/>
    <w:rsid w:val="2B603075"/>
    <w:rsid w:val="30577FBB"/>
    <w:rsid w:val="31AE1DC0"/>
    <w:rsid w:val="33306675"/>
    <w:rsid w:val="33F06D30"/>
    <w:rsid w:val="34E52222"/>
    <w:rsid w:val="36F7376D"/>
    <w:rsid w:val="373D070E"/>
    <w:rsid w:val="37902518"/>
    <w:rsid w:val="3ABBB300"/>
    <w:rsid w:val="3AE21B5A"/>
    <w:rsid w:val="45F41052"/>
    <w:rsid w:val="4CDD7C2A"/>
    <w:rsid w:val="53901E9A"/>
    <w:rsid w:val="57527466"/>
    <w:rsid w:val="59533A90"/>
    <w:rsid w:val="5A1B4488"/>
    <w:rsid w:val="5AF31186"/>
    <w:rsid w:val="5B57504B"/>
    <w:rsid w:val="5BD90156"/>
    <w:rsid w:val="5BDE6C98"/>
    <w:rsid w:val="5C65136D"/>
    <w:rsid w:val="659772A6"/>
    <w:rsid w:val="66236B9E"/>
    <w:rsid w:val="66614567"/>
    <w:rsid w:val="685F19E3"/>
    <w:rsid w:val="68C46190"/>
    <w:rsid w:val="6C2F7EEE"/>
    <w:rsid w:val="6CB01D5E"/>
    <w:rsid w:val="6D5F96FC"/>
    <w:rsid w:val="6F763716"/>
    <w:rsid w:val="6F7F7E9B"/>
    <w:rsid w:val="6FD837F9"/>
    <w:rsid w:val="6FEE1C13"/>
    <w:rsid w:val="6FF627EA"/>
    <w:rsid w:val="707F1A9F"/>
    <w:rsid w:val="73697BBA"/>
    <w:rsid w:val="76B178AE"/>
    <w:rsid w:val="7789E3D1"/>
    <w:rsid w:val="78CF480F"/>
    <w:rsid w:val="7DF43BBC"/>
    <w:rsid w:val="7EDBF6D2"/>
    <w:rsid w:val="7EE84108"/>
    <w:rsid w:val="7FD7FB7C"/>
    <w:rsid w:val="7FDFD9DB"/>
    <w:rsid w:val="7FF6C3ED"/>
    <w:rsid w:val="7FF6CFC6"/>
    <w:rsid w:val="9D5DDE1E"/>
    <w:rsid w:val="9E8E2055"/>
    <w:rsid w:val="AEEDBED6"/>
    <w:rsid w:val="B1E64B0D"/>
    <w:rsid w:val="BCFA9B0B"/>
    <w:rsid w:val="BEB92D31"/>
    <w:rsid w:val="BEBDD46C"/>
    <w:rsid w:val="BF679F9D"/>
    <w:rsid w:val="CAFFD6D1"/>
    <w:rsid w:val="CBFC9D0E"/>
    <w:rsid w:val="D3CF1483"/>
    <w:rsid w:val="DFFD91DA"/>
    <w:rsid w:val="EAEF3AD3"/>
    <w:rsid w:val="ECDFD66A"/>
    <w:rsid w:val="EDBD2BEE"/>
    <w:rsid w:val="EEFFB6A8"/>
    <w:rsid w:val="FBBE8344"/>
    <w:rsid w:val="FDFE206B"/>
    <w:rsid w:val="FFAC1AD9"/>
    <w:rsid w:val="FFB3F5CA"/>
    <w:rsid w:val="FFF1B5A3"/>
    <w:rsid w:val="FFFD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qFormat/>
    <w:uiPriority w:val="0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qFormat/>
    <w:uiPriority w:val="0"/>
  </w:style>
  <w:style w:type="paragraph" w:styleId="8">
    <w:name w:val="toc 2"/>
    <w:basedOn w:val="1"/>
    <w:next w:val="1"/>
    <w:qFormat/>
    <w:uiPriority w:val="0"/>
    <w:pPr>
      <w:ind w:left="420" w:left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49</Words>
  <Characters>54</Characters>
  <Lines>0</Lines>
  <Paragraphs>0</Paragraphs>
  <TotalTime>18</TotalTime>
  <ScaleCrop>false</ScaleCrop>
  <LinksUpToDate>false</LinksUpToDate>
  <CharactersWithSpaces>60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2025-07-06T06:37:00Z</dcterms:created>
  <dc:creator>擎</dc:creator>
  <cp:lastModifiedBy>初心</cp:lastModifiedBy>
  <cp:lastPrinted>2025-12-24T17:50:00Z</cp:lastPrinted>
  <dcterms:modified xsi:type="dcterms:W3CDTF">2025-12-27T12:47:34Z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A371483EFE1B49009351BD7D4B23EF41_13</vt:lpwstr>
  </property>
  <property fmtid="{D5CDD505-2E9C-101B-9397-08002B2CF9AE}" pid="4" name="KSOTemplateDocerSaveRecord">
    <vt:lpwstr>eyJoZGlkIjoiMjg3YmExZmU0YzUzYWJkNzc2NWUxYzNiMDQ0ZmQwZDYiLCJ1c2VySWQiOiI1NDQ2Mzc1NDQifQ==</vt:lpwstr>
  </property>
</Properties>
</file>